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p w14:paraId="7DEED807" w14:textId="77777777" w:rsidR="00F43AFB" w:rsidRDefault="00F43AFB" w:rsidP="00F43AFB">
      <w:pPr>
        <w:jc w:val="both"/>
        <w:rPr>
          <w:rFonts w:cs="Arial"/>
          <w:b/>
          <w:sz w:val="28"/>
          <w:szCs w:val="28"/>
        </w:rPr>
      </w:pPr>
      <w:bookmarkStart w:id="0" w:name="Title"/>
      <w:bookmarkEnd w:id="0"/>
      <w:r>
        <w:rPr>
          <w:rFonts w:cs="Arial"/>
          <w:b/>
          <w:sz w:val="28"/>
          <w:szCs w:val="28"/>
        </w:rPr>
        <w:t>Workforce Report</w:t>
      </w:r>
      <w:r w:rsidRPr="00B72A7F">
        <w:rPr>
          <w:rFonts w:cs="Arial"/>
          <w:b/>
          <w:sz w:val="28"/>
          <w:szCs w:val="28"/>
        </w:rPr>
        <w:t xml:space="preserve"> </w:t>
      </w:r>
      <w:r>
        <w:rPr>
          <w:rFonts w:cs="Arial"/>
          <w:b/>
          <w:sz w:val="28"/>
          <w:szCs w:val="28"/>
        </w:rPr>
        <w:t xml:space="preserve"> </w:t>
      </w:r>
    </w:p>
    <w:p w14:paraId="5837A197" w14:textId="1BF0BF7D" w:rsidR="009B6F95" w:rsidRPr="00C803F3" w:rsidRDefault="009B6F95" w:rsidP="00F43AFB">
      <w:pPr>
        <w:pStyle w:val="Title1"/>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7482E837" w:rsidR="00795C95" w:rsidRDefault="00E37C8D"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21AFBCF5" w14:textId="77777777" w:rsidR="00E37C8D" w:rsidRPr="009D4A1C" w:rsidRDefault="00E37C8D" w:rsidP="00E37C8D">
      <w:pPr>
        <w:jc w:val="both"/>
        <w:rPr>
          <w:rFonts w:cs="Arial"/>
        </w:rPr>
      </w:pPr>
      <w:r w:rsidRPr="009D4A1C">
        <w:rPr>
          <w:rFonts w:cs="Arial"/>
        </w:rPr>
        <w:t xml:space="preserve">This briefly describes the main industrial relations and pension issues at present.  </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E37C8D" w:rsidRDefault="00E37C8D"/>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7E10051" w:rsidR="00E37C8D" w:rsidRPr="00A627DD" w:rsidRDefault="00E37C8D" w:rsidP="00B84F31">
                                <w:pPr>
                                  <w:ind w:left="0" w:firstLine="0"/>
                                </w:pPr>
                                <w:r>
                                  <w:rPr>
                                    <w:rStyle w:val="Style6"/>
                                  </w:rPr>
                                  <w:t>Recommendation</w:t>
                                </w:r>
                              </w:p>
                            </w:sdtContent>
                          </w:sdt>
                          <w:p w14:paraId="10D76698" w14:textId="77777777" w:rsidR="00E37C8D" w:rsidRPr="004F4241" w:rsidRDefault="00E37C8D" w:rsidP="00E37C8D">
                            <w:pPr>
                              <w:jc w:val="both"/>
                              <w:rPr>
                                <w:rFonts w:cs="Arial"/>
                              </w:rPr>
                            </w:pPr>
                            <w:r w:rsidRPr="004F4241">
                              <w:rPr>
                                <w:rFonts w:cs="Arial"/>
                              </w:rPr>
                              <w:t xml:space="preserve">Members are asked to note the issues set out in the paper. </w:t>
                            </w:r>
                          </w:p>
                          <w:p w14:paraId="5837A1DF" w14:textId="01F812B2" w:rsidR="00E37C8D" w:rsidRPr="00A627DD" w:rsidRDefault="009E1C27"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37C8D">
                                  <w:rPr>
                                    <w:rStyle w:val="Style6"/>
                                  </w:rPr>
                                  <w:t>Action</w:t>
                                </w:r>
                              </w:sdtContent>
                            </w:sdt>
                          </w:p>
                          <w:p w14:paraId="5837A1E0" w14:textId="6DA5104A" w:rsidR="00E37C8D" w:rsidRPr="00B84F31" w:rsidRDefault="00E37C8D" w:rsidP="00B84F31">
                            <w:pPr>
                              <w:pStyle w:val="Title3"/>
                              <w:ind w:left="0" w:firstLine="0"/>
                            </w:pPr>
                            <w:r>
                              <w:t>Officers are asked to note member comments</w:t>
                            </w:r>
                          </w:p>
                          <w:p w14:paraId="5837A1E1" w14:textId="77777777" w:rsidR="00E37C8D" w:rsidRDefault="00E37C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E37C8D" w:rsidRDefault="00E37C8D"/>
                    <w:sdt>
                      <w:sdtPr>
                        <w:rPr>
                          <w:rStyle w:val="Style6"/>
                        </w:rPr>
                        <w:alias w:val="Recommendations"/>
                        <w:tag w:val="Recommendations"/>
                        <w:id w:val="-1634171231"/>
                        <w:placeholder>
                          <w:docPart w:val="6A9E8857DB8647FABF64567742B78AD3"/>
                        </w:placeholder>
                      </w:sdtPr>
                      <w:sdtContent>
                        <w:p w14:paraId="5837A1DD" w14:textId="17E10051" w:rsidR="00E37C8D" w:rsidRPr="00A627DD" w:rsidRDefault="00E37C8D" w:rsidP="00B84F31">
                          <w:pPr>
                            <w:ind w:left="0" w:firstLine="0"/>
                          </w:pPr>
                          <w:r>
                            <w:rPr>
                              <w:rStyle w:val="Style6"/>
                            </w:rPr>
                            <w:t>Recommendation</w:t>
                          </w:r>
                        </w:p>
                      </w:sdtContent>
                    </w:sdt>
                    <w:p w14:paraId="10D76698" w14:textId="77777777" w:rsidR="00E37C8D" w:rsidRPr="004F4241" w:rsidRDefault="00E37C8D" w:rsidP="00E37C8D">
                      <w:pPr>
                        <w:jc w:val="both"/>
                        <w:rPr>
                          <w:rFonts w:cs="Arial"/>
                        </w:rPr>
                      </w:pPr>
                      <w:r w:rsidRPr="004F4241">
                        <w:rPr>
                          <w:rFonts w:cs="Arial"/>
                        </w:rPr>
                        <w:t xml:space="preserve">Members are asked to note the issues set out in the paper. </w:t>
                      </w:r>
                    </w:p>
                    <w:p w14:paraId="5837A1DF" w14:textId="01F812B2" w:rsidR="00E37C8D" w:rsidRPr="00A627DD" w:rsidRDefault="00E37C8D"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sdtContent>
                      </w:sdt>
                    </w:p>
                    <w:p w14:paraId="5837A1E0" w14:textId="6DA5104A" w:rsidR="00E37C8D" w:rsidRPr="00B84F31" w:rsidRDefault="00E37C8D" w:rsidP="00B84F31">
                      <w:pPr>
                        <w:pStyle w:val="Title3"/>
                        <w:ind w:left="0" w:firstLine="0"/>
                      </w:pPr>
                      <w:r>
                        <w:t>Officers are asked to note member comments</w:t>
                      </w:r>
                    </w:p>
                    <w:p w14:paraId="5837A1E1" w14:textId="77777777" w:rsidR="00E37C8D" w:rsidRDefault="00E37C8D"/>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tbl>
      <w:tblPr>
        <w:tblW w:w="0" w:type="auto"/>
        <w:tblLook w:val="01E0" w:firstRow="1" w:lastRow="1" w:firstColumn="1" w:lastColumn="1" w:noHBand="0" w:noVBand="0"/>
      </w:tblPr>
      <w:tblGrid>
        <w:gridCol w:w="2271"/>
        <w:gridCol w:w="3456"/>
        <w:gridCol w:w="3204"/>
      </w:tblGrid>
      <w:tr w:rsidR="00E37C8D" w:rsidRPr="008E647D" w14:paraId="00AE1332" w14:textId="77777777" w:rsidTr="00E37C8D">
        <w:trPr>
          <w:trHeight w:val="410"/>
        </w:trPr>
        <w:tc>
          <w:tcPr>
            <w:tcW w:w="2271" w:type="dxa"/>
          </w:tcPr>
          <w:p w14:paraId="389C76D2" w14:textId="77777777" w:rsidR="00E37C8D" w:rsidRPr="008E647D" w:rsidRDefault="00E37C8D" w:rsidP="00E37C8D">
            <w:pPr>
              <w:pStyle w:val="MainText"/>
              <w:spacing w:after="120" w:line="240" w:lineRule="auto"/>
              <w:jc w:val="both"/>
              <w:rPr>
                <w:rFonts w:ascii="Arial" w:hAnsi="Arial" w:cs="Arial"/>
                <w:sz w:val="23"/>
                <w:szCs w:val="23"/>
              </w:rPr>
            </w:pPr>
            <w:r w:rsidRPr="008E647D">
              <w:rPr>
                <w:rFonts w:ascii="Arial" w:hAnsi="Arial" w:cs="Arial"/>
                <w:b/>
                <w:sz w:val="23"/>
                <w:szCs w:val="23"/>
              </w:rPr>
              <w:t>Contact officer:</w:t>
            </w:r>
            <w:r w:rsidRPr="008E647D">
              <w:rPr>
                <w:rFonts w:ascii="Arial" w:hAnsi="Arial" w:cs="Arial"/>
                <w:sz w:val="23"/>
                <w:szCs w:val="23"/>
              </w:rPr>
              <w:t xml:space="preserve">  </w:t>
            </w:r>
          </w:p>
        </w:tc>
        <w:tc>
          <w:tcPr>
            <w:tcW w:w="3456" w:type="dxa"/>
          </w:tcPr>
          <w:p w14:paraId="65873346" w14:textId="77777777" w:rsidR="00E37C8D" w:rsidRPr="008E647D" w:rsidRDefault="00E37C8D" w:rsidP="00E37C8D">
            <w:pPr>
              <w:pStyle w:val="MainText"/>
              <w:tabs>
                <w:tab w:val="left" w:pos="4578"/>
              </w:tabs>
              <w:spacing w:after="120" w:line="240" w:lineRule="auto"/>
              <w:jc w:val="both"/>
              <w:rPr>
                <w:rFonts w:ascii="Arial" w:hAnsi="Arial" w:cs="Arial"/>
                <w:sz w:val="23"/>
                <w:szCs w:val="23"/>
              </w:rPr>
            </w:pPr>
            <w:r w:rsidRPr="008E647D">
              <w:rPr>
                <w:rFonts w:ascii="Arial" w:hAnsi="Arial" w:cs="Arial"/>
                <w:sz w:val="23"/>
                <w:szCs w:val="23"/>
              </w:rPr>
              <w:t xml:space="preserve">Gill Gittins </w:t>
            </w:r>
            <w:r>
              <w:rPr>
                <w:rFonts w:ascii="Arial" w:hAnsi="Arial" w:cs="Arial"/>
                <w:sz w:val="23"/>
                <w:szCs w:val="23"/>
              </w:rPr>
              <w:t xml:space="preserve">(industrial relations) </w:t>
            </w:r>
          </w:p>
        </w:tc>
        <w:tc>
          <w:tcPr>
            <w:tcW w:w="3204" w:type="dxa"/>
          </w:tcPr>
          <w:p w14:paraId="0EC6EE3B" w14:textId="77777777" w:rsidR="00E37C8D" w:rsidRPr="008E647D" w:rsidRDefault="00E37C8D" w:rsidP="00E37C8D">
            <w:pPr>
              <w:pStyle w:val="MainText"/>
              <w:tabs>
                <w:tab w:val="left" w:pos="4578"/>
              </w:tabs>
              <w:spacing w:after="120" w:line="240" w:lineRule="auto"/>
              <w:jc w:val="both"/>
              <w:rPr>
                <w:rFonts w:ascii="Arial" w:hAnsi="Arial" w:cs="Arial"/>
                <w:sz w:val="23"/>
                <w:szCs w:val="23"/>
              </w:rPr>
            </w:pPr>
            <w:r>
              <w:rPr>
                <w:rFonts w:ascii="Arial" w:hAnsi="Arial" w:cs="Arial"/>
                <w:sz w:val="23"/>
                <w:szCs w:val="23"/>
              </w:rPr>
              <w:t>Clair Alcock (pensions)</w:t>
            </w:r>
          </w:p>
        </w:tc>
      </w:tr>
      <w:tr w:rsidR="00E37C8D" w:rsidRPr="008E647D" w14:paraId="6D674E1A" w14:textId="77777777" w:rsidTr="00E37C8D">
        <w:trPr>
          <w:trHeight w:val="394"/>
        </w:trPr>
        <w:tc>
          <w:tcPr>
            <w:tcW w:w="2271" w:type="dxa"/>
          </w:tcPr>
          <w:p w14:paraId="31231CC3" w14:textId="77777777" w:rsidR="00E37C8D" w:rsidRPr="008E647D" w:rsidRDefault="00E37C8D" w:rsidP="00E37C8D">
            <w:pPr>
              <w:pStyle w:val="MainText"/>
              <w:spacing w:after="120" w:line="240" w:lineRule="auto"/>
              <w:jc w:val="both"/>
              <w:rPr>
                <w:rFonts w:ascii="Arial" w:hAnsi="Arial" w:cs="Arial"/>
                <w:b/>
                <w:sz w:val="23"/>
                <w:szCs w:val="23"/>
              </w:rPr>
            </w:pPr>
            <w:r w:rsidRPr="008E647D">
              <w:rPr>
                <w:rFonts w:ascii="Arial" w:hAnsi="Arial" w:cs="Arial"/>
                <w:b/>
                <w:sz w:val="23"/>
                <w:szCs w:val="23"/>
              </w:rPr>
              <w:t>Position:</w:t>
            </w:r>
          </w:p>
        </w:tc>
        <w:tc>
          <w:tcPr>
            <w:tcW w:w="3456" w:type="dxa"/>
          </w:tcPr>
          <w:p w14:paraId="2B133624" w14:textId="77777777" w:rsidR="00E37C8D" w:rsidRPr="008E647D" w:rsidRDefault="00E37C8D" w:rsidP="00E37C8D">
            <w:pPr>
              <w:pStyle w:val="MainText"/>
              <w:spacing w:after="120" w:line="240" w:lineRule="auto"/>
              <w:jc w:val="both"/>
              <w:rPr>
                <w:rFonts w:ascii="Arial" w:hAnsi="Arial" w:cs="Arial"/>
                <w:sz w:val="23"/>
                <w:szCs w:val="23"/>
              </w:rPr>
            </w:pPr>
            <w:r w:rsidRPr="008E647D">
              <w:rPr>
                <w:rFonts w:ascii="Arial" w:hAnsi="Arial" w:cs="Arial"/>
                <w:sz w:val="23"/>
                <w:szCs w:val="23"/>
              </w:rPr>
              <w:t>Principal Negotiating Officer</w:t>
            </w:r>
          </w:p>
        </w:tc>
        <w:tc>
          <w:tcPr>
            <w:tcW w:w="3204" w:type="dxa"/>
          </w:tcPr>
          <w:p w14:paraId="1B10C521" w14:textId="77777777" w:rsidR="00E37C8D" w:rsidRPr="008E647D" w:rsidRDefault="00E37C8D" w:rsidP="00E37C8D">
            <w:pPr>
              <w:pStyle w:val="MainText"/>
              <w:spacing w:after="120" w:line="240" w:lineRule="auto"/>
              <w:jc w:val="both"/>
              <w:rPr>
                <w:rFonts w:ascii="Arial" w:hAnsi="Arial" w:cs="Arial"/>
                <w:sz w:val="23"/>
                <w:szCs w:val="23"/>
              </w:rPr>
            </w:pPr>
            <w:r>
              <w:rPr>
                <w:rFonts w:ascii="Arial" w:hAnsi="Arial" w:cs="Arial"/>
                <w:sz w:val="23"/>
                <w:szCs w:val="23"/>
              </w:rPr>
              <w:t>Fire Pensions Adviser</w:t>
            </w:r>
          </w:p>
        </w:tc>
      </w:tr>
      <w:tr w:rsidR="00E37C8D" w:rsidRPr="008E647D" w14:paraId="0D3E48B8" w14:textId="77777777" w:rsidTr="00E37C8D">
        <w:trPr>
          <w:trHeight w:val="410"/>
        </w:trPr>
        <w:tc>
          <w:tcPr>
            <w:tcW w:w="2271" w:type="dxa"/>
          </w:tcPr>
          <w:p w14:paraId="2F2C2C1A" w14:textId="77777777" w:rsidR="00E37C8D" w:rsidRPr="008E647D" w:rsidRDefault="00E37C8D" w:rsidP="00E37C8D">
            <w:pPr>
              <w:pStyle w:val="MainText"/>
              <w:spacing w:after="120" w:line="240" w:lineRule="auto"/>
              <w:jc w:val="both"/>
              <w:rPr>
                <w:rFonts w:ascii="Arial" w:hAnsi="Arial" w:cs="Arial"/>
                <w:b/>
                <w:sz w:val="23"/>
                <w:szCs w:val="23"/>
              </w:rPr>
            </w:pPr>
            <w:r w:rsidRPr="008E647D">
              <w:rPr>
                <w:rFonts w:ascii="Arial" w:hAnsi="Arial" w:cs="Arial"/>
                <w:b/>
                <w:sz w:val="23"/>
                <w:szCs w:val="23"/>
              </w:rPr>
              <w:t>Phone no:</w:t>
            </w:r>
          </w:p>
        </w:tc>
        <w:tc>
          <w:tcPr>
            <w:tcW w:w="3456" w:type="dxa"/>
          </w:tcPr>
          <w:p w14:paraId="4CA4ABD9" w14:textId="77777777" w:rsidR="00E37C8D" w:rsidRPr="008E647D" w:rsidRDefault="00E37C8D" w:rsidP="00E37C8D">
            <w:pPr>
              <w:pStyle w:val="MainText"/>
              <w:spacing w:after="120" w:line="240" w:lineRule="auto"/>
              <w:jc w:val="both"/>
              <w:rPr>
                <w:rFonts w:ascii="Arial" w:hAnsi="Arial" w:cs="Arial"/>
                <w:sz w:val="23"/>
                <w:szCs w:val="23"/>
              </w:rPr>
            </w:pPr>
            <w:r w:rsidRPr="008E647D">
              <w:rPr>
                <w:rFonts w:ascii="Arial" w:hAnsi="Arial" w:cs="Arial"/>
                <w:sz w:val="23"/>
                <w:szCs w:val="23"/>
              </w:rPr>
              <w:t>020 7187 7335</w:t>
            </w:r>
          </w:p>
        </w:tc>
        <w:tc>
          <w:tcPr>
            <w:tcW w:w="3204" w:type="dxa"/>
          </w:tcPr>
          <w:p w14:paraId="64618BD5" w14:textId="77777777" w:rsidR="00E37C8D" w:rsidRPr="008E647D" w:rsidRDefault="00E37C8D" w:rsidP="00E37C8D">
            <w:pPr>
              <w:pStyle w:val="MainText"/>
              <w:spacing w:after="120" w:line="240" w:lineRule="auto"/>
              <w:jc w:val="both"/>
              <w:rPr>
                <w:rFonts w:ascii="Arial" w:hAnsi="Arial" w:cs="Arial"/>
                <w:sz w:val="23"/>
                <w:szCs w:val="23"/>
              </w:rPr>
            </w:pPr>
            <w:r>
              <w:rPr>
                <w:rFonts w:ascii="Arial" w:hAnsi="Arial" w:cs="Arial"/>
                <w:sz w:val="23"/>
                <w:szCs w:val="23"/>
              </w:rPr>
              <w:t xml:space="preserve">020 </w:t>
            </w:r>
            <w:r w:rsidRPr="00B72A7F">
              <w:rPr>
                <w:rFonts w:ascii="Arial" w:hAnsi="Arial" w:cs="Arial"/>
                <w:color w:val="000000"/>
                <w:sz w:val="23"/>
                <w:szCs w:val="23"/>
              </w:rPr>
              <w:t>7664 3189</w:t>
            </w:r>
            <w:r>
              <w:rPr>
                <w:rFonts w:ascii="Arial" w:hAnsi="Arial" w:cs="Arial"/>
                <w:sz w:val="23"/>
                <w:szCs w:val="23"/>
              </w:rPr>
              <w:t xml:space="preserve"> </w:t>
            </w:r>
          </w:p>
        </w:tc>
      </w:tr>
      <w:tr w:rsidR="00E37C8D" w:rsidRPr="008E647D" w14:paraId="6E4F028E" w14:textId="77777777" w:rsidTr="00E37C8D">
        <w:trPr>
          <w:trHeight w:val="394"/>
        </w:trPr>
        <w:tc>
          <w:tcPr>
            <w:tcW w:w="2271" w:type="dxa"/>
          </w:tcPr>
          <w:p w14:paraId="29786242" w14:textId="77777777" w:rsidR="00E37C8D" w:rsidRPr="008E647D" w:rsidRDefault="00E37C8D" w:rsidP="00E37C8D">
            <w:pPr>
              <w:pStyle w:val="MainText"/>
              <w:spacing w:after="120" w:line="240" w:lineRule="auto"/>
              <w:jc w:val="both"/>
              <w:rPr>
                <w:rFonts w:ascii="Arial" w:hAnsi="Arial" w:cs="Arial"/>
                <w:b/>
                <w:sz w:val="23"/>
                <w:szCs w:val="23"/>
              </w:rPr>
            </w:pPr>
            <w:r w:rsidRPr="008E647D">
              <w:rPr>
                <w:rFonts w:ascii="Arial" w:hAnsi="Arial" w:cs="Arial"/>
                <w:b/>
                <w:sz w:val="23"/>
                <w:szCs w:val="23"/>
              </w:rPr>
              <w:t>E-mail:</w:t>
            </w:r>
          </w:p>
        </w:tc>
        <w:tc>
          <w:tcPr>
            <w:tcW w:w="3456" w:type="dxa"/>
          </w:tcPr>
          <w:p w14:paraId="0A5E4649" w14:textId="77777777" w:rsidR="00E37C8D" w:rsidRPr="008E647D" w:rsidRDefault="00E37C8D" w:rsidP="00E37C8D">
            <w:pPr>
              <w:pStyle w:val="MainText"/>
              <w:spacing w:after="120" w:line="240" w:lineRule="auto"/>
              <w:jc w:val="both"/>
              <w:rPr>
                <w:rFonts w:ascii="Arial" w:hAnsi="Arial" w:cs="Arial"/>
                <w:sz w:val="23"/>
                <w:szCs w:val="23"/>
              </w:rPr>
            </w:pPr>
            <w:r w:rsidRPr="008E647D">
              <w:rPr>
                <w:rFonts w:ascii="Arial" w:hAnsi="Arial" w:cs="Arial"/>
                <w:sz w:val="23"/>
                <w:szCs w:val="23"/>
              </w:rPr>
              <w:t>gill.gittins@local.gov.uk</w:t>
            </w:r>
          </w:p>
        </w:tc>
        <w:tc>
          <w:tcPr>
            <w:tcW w:w="3204" w:type="dxa"/>
          </w:tcPr>
          <w:p w14:paraId="5DBB1CDC" w14:textId="77777777" w:rsidR="00E37C8D" w:rsidRPr="008E647D" w:rsidRDefault="00E37C8D" w:rsidP="00E37C8D">
            <w:pPr>
              <w:pStyle w:val="MainText"/>
              <w:spacing w:after="120" w:line="240" w:lineRule="auto"/>
              <w:jc w:val="both"/>
              <w:rPr>
                <w:rFonts w:ascii="Arial" w:hAnsi="Arial" w:cs="Arial"/>
                <w:sz w:val="23"/>
                <w:szCs w:val="23"/>
              </w:rPr>
            </w:pPr>
            <w:r>
              <w:rPr>
                <w:rFonts w:ascii="Arial" w:hAnsi="Arial" w:cs="Arial"/>
                <w:sz w:val="23"/>
                <w:szCs w:val="23"/>
              </w:rPr>
              <w:t>clair.alcock@local.gov.uk</w:t>
            </w:r>
          </w:p>
        </w:tc>
      </w:tr>
      <w:tr w:rsidR="00E37C8D" w14:paraId="5D8D9B71" w14:textId="77777777" w:rsidTr="00E37C8D">
        <w:trPr>
          <w:trHeight w:val="410"/>
        </w:trPr>
        <w:tc>
          <w:tcPr>
            <w:tcW w:w="2271" w:type="dxa"/>
          </w:tcPr>
          <w:p w14:paraId="6821EB3C" w14:textId="77777777" w:rsidR="00E37C8D" w:rsidRPr="008E647D" w:rsidRDefault="00E37C8D" w:rsidP="00E37C8D">
            <w:pPr>
              <w:pStyle w:val="MainText"/>
              <w:spacing w:after="120" w:line="240" w:lineRule="auto"/>
              <w:jc w:val="both"/>
              <w:rPr>
                <w:rFonts w:ascii="Arial" w:hAnsi="Arial" w:cs="Arial"/>
                <w:b/>
                <w:sz w:val="23"/>
                <w:szCs w:val="23"/>
              </w:rPr>
            </w:pPr>
          </w:p>
        </w:tc>
        <w:tc>
          <w:tcPr>
            <w:tcW w:w="3456" w:type="dxa"/>
          </w:tcPr>
          <w:p w14:paraId="784A3B21" w14:textId="77777777" w:rsidR="00E37C8D" w:rsidRPr="008E647D" w:rsidRDefault="00E37C8D" w:rsidP="00E37C8D">
            <w:pPr>
              <w:pStyle w:val="MainText"/>
              <w:tabs>
                <w:tab w:val="left" w:pos="4578"/>
              </w:tabs>
              <w:spacing w:after="120" w:line="240" w:lineRule="auto"/>
              <w:jc w:val="both"/>
              <w:rPr>
                <w:rFonts w:ascii="Arial" w:hAnsi="Arial" w:cs="Arial"/>
                <w:sz w:val="23"/>
                <w:szCs w:val="23"/>
              </w:rPr>
            </w:pPr>
          </w:p>
        </w:tc>
        <w:tc>
          <w:tcPr>
            <w:tcW w:w="3204" w:type="dxa"/>
          </w:tcPr>
          <w:p w14:paraId="52CB5520" w14:textId="77777777" w:rsidR="00E37C8D" w:rsidRDefault="00E37C8D" w:rsidP="00E37C8D">
            <w:pPr>
              <w:pStyle w:val="MainText"/>
              <w:tabs>
                <w:tab w:val="left" w:pos="4578"/>
              </w:tabs>
              <w:spacing w:after="120" w:line="240" w:lineRule="auto"/>
              <w:jc w:val="both"/>
              <w:rPr>
                <w:rFonts w:ascii="Arial" w:hAnsi="Arial" w:cs="Arial"/>
                <w:sz w:val="23"/>
                <w:szCs w:val="23"/>
              </w:rPr>
            </w:pPr>
          </w:p>
        </w:tc>
      </w:tr>
    </w:tbl>
    <w:p w14:paraId="5837A1A7" w14:textId="77777777" w:rsidR="009B6F95" w:rsidRDefault="009B6F95" w:rsidP="00B84F31">
      <w:pPr>
        <w:pStyle w:val="Title3"/>
      </w:pPr>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3" w14:textId="5E428414" w:rsidR="00C803F3" w:rsidRPr="00F43AFB" w:rsidRDefault="00F43AFB" w:rsidP="00E37C8D">
      <w:pPr>
        <w:ind w:left="0" w:firstLine="0"/>
        <w:jc w:val="both"/>
        <w:rPr>
          <w:rFonts w:cs="Arial"/>
          <w:b/>
          <w:sz w:val="28"/>
          <w:szCs w:val="28"/>
        </w:rPr>
      </w:pPr>
      <w:r>
        <w:rPr>
          <w:rFonts w:cs="Arial"/>
          <w:b/>
          <w:sz w:val="28"/>
          <w:szCs w:val="28"/>
        </w:rPr>
        <w:t>Workforce Report</w:t>
      </w:r>
      <w:r w:rsidRPr="00B72A7F">
        <w:rPr>
          <w:rFonts w:cs="Arial"/>
          <w:b/>
          <w:sz w:val="28"/>
          <w:szCs w:val="28"/>
        </w:rPr>
        <w:t xml:space="preserve"> </w:t>
      </w:r>
      <w:r>
        <w:rPr>
          <w:rFonts w:cs="Arial"/>
          <w:b/>
          <w:sz w:val="28"/>
          <w:szCs w:val="28"/>
        </w:rPr>
        <w:t xml:space="preserve"> </w:t>
      </w:r>
      <w:r w:rsidR="000F69FB">
        <w:fldChar w:fldCharType="begin"/>
      </w:r>
      <w:r w:rsidR="000F69FB">
        <w:instrText xml:space="preserve"> REF  Title \h \*MERGEFORMAT </w:instrText>
      </w:r>
      <w:r w:rsidR="000F69FB">
        <w:fldChar w:fldCharType="end"/>
      </w:r>
    </w:p>
    <w:sdt>
      <w:sdtPr>
        <w:rPr>
          <w:rStyle w:val="Style6"/>
        </w:rPr>
        <w:alias w:val="Background"/>
        <w:tag w:val="Background"/>
        <w:id w:val="-1335600510"/>
        <w:placeholder>
          <w:docPart w:val="1444C70DB0544F7FA5791133FDBCBD91"/>
        </w:placeholder>
      </w:sdtPr>
      <w:sdtEndPr>
        <w:rPr>
          <w:rStyle w:val="Style6"/>
        </w:rPr>
      </w:sdtEndPr>
      <w:sdtContent>
        <w:p w14:paraId="05B3A738" w14:textId="77777777" w:rsidR="00E37C8D" w:rsidRPr="00E37C8D" w:rsidRDefault="00E37C8D" w:rsidP="00E37C8D">
          <w:pPr>
            <w:rPr>
              <w:rStyle w:val="Style6"/>
            </w:rPr>
          </w:pPr>
          <w:r w:rsidRPr="00E37C8D">
            <w:rPr>
              <w:rStyle w:val="Style6"/>
            </w:rPr>
            <w:t>Pensions</w:t>
          </w:r>
        </w:p>
        <w:p w14:paraId="5837A1B5" w14:textId="3354DFA6" w:rsidR="009B6F95" w:rsidRPr="007945F7" w:rsidRDefault="00E37C8D" w:rsidP="00E37C8D">
          <w:pPr>
            <w:rPr>
              <w:rStyle w:val="ReportTemplate"/>
            </w:rPr>
          </w:pPr>
          <w:r w:rsidRPr="007945F7">
            <w:rPr>
              <w:rStyle w:val="ReportTemplate"/>
            </w:rPr>
            <w:t>Valuation and Employer Contributions</w:t>
          </w:r>
        </w:p>
      </w:sdtContent>
    </w:sdt>
    <w:p w14:paraId="5837A1B6" w14:textId="7B7B14A7" w:rsidR="00C803F3" w:rsidRPr="00E37C8D" w:rsidRDefault="00E37C8D" w:rsidP="00C803F3">
      <w:pPr>
        <w:pStyle w:val="ListParagraph"/>
      </w:pPr>
      <w:r w:rsidRPr="00E37C8D">
        <w:rPr>
          <w:rFonts w:cs="Arial"/>
          <w:noProof/>
          <w:color w:val="000000"/>
          <w:lang w:eastAsia="en-GB"/>
        </w:rPr>
        <w:t>The draft valuation results are now known and for firefighter pension schemes in England this means</w:t>
      </w:r>
    </w:p>
    <w:p w14:paraId="55A394D9" w14:textId="77777777" w:rsidR="00E37C8D" w:rsidRPr="00E37C8D" w:rsidRDefault="00E37C8D" w:rsidP="00E37C8D">
      <w:pPr>
        <w:pStyle w:val="ListParagraph"/>
        <w:numPr>
          <w:ilvl w:val="0"/>
          <w:numId w:val="0"/>
        </w:numPr>
        <w:ind w:left="360"/>
      </w:pPr>
    </w:p>
    <w:p w14:paraId="65B38FDD" w14:textId="0A9B99BE" w:rsidR="00E37C8D" w:rsidRPr="00E37C8D" w:rsidRDefault="00E37C8D" w:rsidP="00E37C8D">
      <w:pPr>
        <w:pStyle w:val="ListParagraph"/>
        <w:numPr>
          <w:ilvl w:val="1"/>
          <w:numId w:val="1"/>
        </w:numPr>
        <w:rPr>
          <w:noProof/>
          <w:lang w:eastAsia="en-GB"/>
        </w:rPr>
      </w:pPr>
      <w:r w:rsidRPr="00E37C8D">
        <w:rPr>
          <w:noProof/>
          <w:lang w:eastAsia="en-GB"/>
        </w:rPr>
        <w:t xml:space="preserve">The </w:t>
      </w:r>
      <w:r w:rsidR="00014225">
        <w:rPr>
          <w:noProof/>
          <w:lang w:eastAsia="en-GB"/>
        </w:rPr>
        <w:t>employer cost cap floor of 14.8 per cent</w:t>
      </w:r>
      <w:r w:rsidRPr="00E37C8D">
        <w:rPr>
          <w:noProof/>
          <w:lang w:eastAsia="en-GB"/>
        </w:rPr>
        <w:t xml:space="preserve"> has been breached and improvements need to be made to rectify the breach.</w:t>
      </w:r>
    </w:p>
    <w:p w14:paraId="02E20B10" w14:textId="77777777" w:rsidR="00E37C8D" w:rsidRPr="00E37C8D" w:rsidRDefault="00E37C8D" w:rsidP="00E37C8D">
      <w:pPr>
        <w:pStyle w:val="ListParagraph"/>
        <w:numPr>
          <w:ilvl w:val="0"/>
          <w:numId w:val="0"/>
        </w:numPr>
        <w:ind w:left="792"/>
        <w:rPr>
          <w:rStyle w:val="ReportTemplate"/>
          <w:noProof/>
          <w:lang w:eastAsia="en-GB"/>
        </w:rPr>
      </w:pPr>
    </w:p>
    <w:p w14:paraId="3BD449E6" w14:textId="6F7B2BA7" w:rsidR="00E37C8D" w:rsidRPr="00E37C8D" w:rsidRDefault="00E37C8D" w:rsidP="00E37C8D">
      <w:pPr>
        <w:pStyle w:val="ListParagraph"/>
        <w:numPr>
          <w:ilvl w:val="1"/>
          <w:numId w:val="1"/>
        </w:numPr>
        <w:rPr>
          <w:rStyle w:val="ReportTemplate"/>
        </w:rPr>
      </w:pPr>
      <w:r w:rsidRPr="00E37C8D">
        <w:rPr>
          <w:rStyle w:val="ReportTemplate"/>
        </w:rPr>
        <w:t>The em</w:t>
      </w:r>
      <w:r w:rsidR="00014225">
        <w:rPr>
          <w:rStyle w:val="ReportTemplate"/>
        </w:rPr>
        <w:t>ployer cost cap was set at 16.8 per cent</w:t>
      </w:r>
      <w:r w:rsidRPr="00E37C8D">
        <w:rPr>
          <w:rStyle w:val="ReportTemplate"/>
        </w:rPr>
        <w:t xml:space="preserve"> and at the recent valuation has been valued at 116 per cent.</w:t>
      </w:r>
    </w:p>
    <w:p w14:paraId="79CAE61A" w14:textId="77777777" w:rsidR="00E37C8D" w:rsidRPr="00E37C8D" w:rsidRDefault="00E37C8D" w:rsidP="00E37C8D">
      <w:pPr>
        <w:pStyle w:val="ListParagraph"/>
        <w:numPr>
          <w:ilvl w:val="0"/>
          <w:numId w:val="0"/>
        </w:numPr>
        <w:ind w:left="792"/>
        <w:rPr>
          <w:rStyle w:val="ReportTemplate"/>
        </w:rPr>
      </w:pPr>
    </w:p>
    <w:p w14:paraId="05377F57" w14:textId="3901168D" w:rsidR="00E37C8D" w:rsidRPr="00E37C8D" w:rsidRDefault="00E37C8D" w:rsidP="00E37C8D">
      <w:pPr>
        <w:pStyle w:val="ListParagraph"/>
        <w:numPr>
          <w:ilvl w:val="1"/>
          <w:numId w:val="1"/>
        </w:numPr>
        <w:rPr>
          <w:rStyle w:val="ReportTemplate"/>
        </w:rPr>
      </w:pPr>
      <w:r w:rsidRPr="00E37C8D">
        <w:rPr>
          <w:rStyle w:val="ReportTemplate"/>
        </w:rPr>
        <w:t>For information this position is reflected across all the devolved governments with indicative change of accrual rate for the period 1st April 2019 to 31st March 2023 as follows</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7"/>
        <w:gridCol w:w="1951"/>
        <w:gridCol w:w="1677"/>
        <w:gridCol w:w="1677"/>
        <w:gridCol w:w="1677"/>
      </w:tblGrid>
      <w:tr w:rsidR="00E37C8D" w:rsidRPr="00E37C8D" w14:paraId="0B9E9935" w14:textId="35AE0E78" w:rsidTr="00E37C8D">
        <w:tc>
          <w:tcPr>
            <w:tcW w:w="1677" w:type="dxa"/>
          </w:tcPr>
          <w:p w14:paraId="62BCCC32" w14:textId="77777777" w:rsidR="00E37C8D" w:rsidRPr="00E37C8D" w:rsidRDefault="00E37C8D" w:rsidP="00E37C8D">
            <w:pPr>
              <w:ind w:left="0" w:firstLine="0"/>
              <w:rPr>
                <w:rStyle w:val="ReportTemplate"/>
              </w:rPr>
            </w:pPr>
          </w:p>
        </w:tc>
        <w:tc>
          <w:tcPr>
            <w:tcW w:w="1951" w:type="dxa"/>
          </w:tcPr>
          <w:p w14:paraId="7FF27A98" w14:textId="45E3255C" w:rsidR="00E37C8D" w:rsidRPr="00E37C8D" w:rsidRDefault="00E37C8D" w:rsidP="00E37C8D">
            <w:pPr>
              <w:ind w:left="0" w:firstLine="0"/>
              <w:rPr>
                <w:rStyle w:val="ReportTemplate"/>
              </w:rPr>
            </w:pPr>
            <w:r w:rsidRPr="00E37C8D">
              <w:rPr>
                <w:rFonts w:cs="Arial"/>
                <w:noProof/>
                <w:color w:val="000000"/>
                <w:lang w:eastAsia="en-GB"/>
              </w:rPr>
              <w:t>Employer Cost Cap</w:t>
            </w:r>
          </w:p>
        </w:tc>
        <w:tc>
          <w:tcPr>
            <w:tcW w:w="1677" w:type="dxa"/>
          </w:tcPr>
          <w:p w14:paraId="145610A8" w14:textId="2F7543A8" w:rsidR="00E37C8D" w:rsidRPr="00E37C8D" w:rsidRDefault="00E37C8D" w:rsidP="00E37C8D">
            <w:pPr>
              <w:ind w:left="0" w:firstLine="0"/>
              <w:rPr>
                <w:rStyle w:val="ReportTemplate"/>
              </w:rPr>
            </w:pPr>
            <w:r w:rsidRPr="00E37C8D">
              <w:rPr>
                <w:rFonts w:cs="Arial"/>
                <w:noProof/>
                <w:color w:val="000000"/>
                <w:lang w:eastAsia="en-GB"/>
              </w:rPr>
              <w:t>2016 Valuation cost cap</w:t>
            </w:r>
          </w:p>
        </w:tc>
        <w:tc>
          <w:tcPr>
            <w:tcW w:w="1677" w:type="dxa"/>
          </w:tcPr>
          <w:p w14:paraId="44C9C530" w14:textId="139D7FEE" w:rsidR="00E37C8D" w:rsidRPr="00E37C8D" w:rsidRDefault="00E37C8D" w:rsidP="00E37C8D">
            <w:pPr>
              <w:ind w:left="0" w:firstLine="0"/>
              <w:rPr>
                <w:rStyle w:val="ReportTemplate"/>
              </w:rPr>
            </w:pPr>
            <w:r w:rsidRPr="00E37C8D">
              <w:rPr>
                <w:rFonts w:cs="Arial"/>
                <w:noProof/>
                <w:color w:val="000000"/>
                <w:lang w:eastAsia="en-GB"/>
              </w:rPr>
              <w:t>Current Accrual</w:t>
            </w:r>
          </w:p>
        </w:tc>
        <w:tc>
          <w:tcPr>
            <w:tcW w:w="1677" w:type="dxa"/>
          </w:tcPr>
          <w:p w14:paraId="716DEE94" w14:textId="1305E202" w:rsidR="00E37C8D" w:rsidRPr="00E37C8D" w:rsidRDefault="00E37C8D" w:rsidP="00E37C8D">
            <w:pPr>
              <w:ind w:left="0" w:firstLine="0"/>
              <w:rPr>
                <w:rStyle w:val="ReportTemplate"/>
              </w:rPr>
            </w:pPr>
            <w:r w:rsidRPr="00E37C8D">
              <w:rPr>
                <w:rFonts w:cs="Arial"/>
                <w:noProof/>
                <w:color w:val="000000"/>
                <w:lang w:eastAsia="en-GB"/>
              </w:rPr>
              <w:t>Indicative accrual change</w:t>
            </w:r>
          </w:p>
        </w:tc>
      </w:tr>
      <w:tr w:rsidR="00E37C8D" w:rsidRPr="00E37C8D" w14:paraId="40D80F92" w14:textId="21668D91" w:rsidTr="00E37C8D">
        <w:tc>
          <w:tcPr>
            <w:tcW w:w="1677" w:type="dxa"/>
          </w:tcPr>
          <w:p w14:paraId="5E6846C4" w14:textId="4BBD2A18" w:rsidR="00E37C8D" w:rsidRPr="00E37C8D" w:rsidRDefault="00E37C8D" w:rsidP="00E37C8D">
            <w:pPr>
              <w:ind w:left="0" w:firstLine="0"/>
              <w:rPr>
                <w:rStyle w:val="ReportTemplate"/>
              </w:rPr>
            </w:pPr>
            <w:r w:rsidRPr="00E37C8D">
              <w:rPr>
                <w:rFonts w:cs="Arial"/>
                <w:noProof/>
                <w:color w:val="000000"/>
                <w:lang w:eastAsia="en-GB"/>
              </w:rPr>
              <w:t>England</w:t>
            </w:r>
          </w:p>
        </w:tc>
        <w:tc>
          <w:tcPr>
            <w:tcW w:w="1951" w:type="dxa"/>
          </w:tcPr>
          <w:p w14:paraId="616FB61A" w14:textId="68AED1A9" w:rsidR="00E37C8D" w:rsidRPr="00E37C8D" w:rsidRDefault="00E37C8D" w:rsidP="00E37C8D">
            <w:pPr>
              <w:ind w:left="0" w:firstLine="0"/>
              <w:rPr>
                <w:rStyle w:val="ReportTemplate"/>
              </w:rPr>
            </w:pPr>
            <w:r w:rsidRPr="00E37C8D">
              <w:rPr>
                <w:rFonts w:cs="Arial"/>
                <w:noProof/>
                <w:color w:val="000000"/>
                <w:lang w:eastAsia="en-GB"/>
              </w:rPr>
              <w:t>16.8%</w:t>
            </w:r>
          </w:p>
        </w:tc>
        <w:tc>
          <w:tcPr>
            <w:tcW w:w="1677" w:type="dxa"/>
          </w:tcPr>
          <w:p w14:paraId="15A9E8AD" w14:textId="283B6EF9" w:rsidR="00E37C8D" w:rsidRPr="00E37C8D" w:rsidRDefault="00E37C8D" w:rsidP="00E37C8D">
            <w:pPr>
              <w:ind w:left="0" w:firstLine="0"/>
              <w:rPr>
                <w:rStyle w:val="ReportTemplate"/>
              </w:rPr>
            </w:pPr>
            <w:r w:rsidRPr="00E37C8D">
              <w:rPr>
                <w:rFonts w:cs="Arial"/>
                <w:noProof/>
                <w:color w:val="000000"/>
                <w:lang w:eastAsia="en-GB"/>
              </w:rPr>
              <w:t>11.6%</w:t>
            </w:r>
          </w:p>
        </w:tc>
        <w:tc>
          <w:tcPr>
            <w:tcW w:w="1677" w:type="dxa"/>
          </w:tcPr>
          <w:p w14:paraId="324FF789" w14:textId="396AD645" w:rsidR="00E37C8D" w:rsidRPr="00E37C8D" w:rsidRDefault="00E37C8D" w:rsidP="00E37C8D">
            <w:pPr>
              <w:ind w:left="0" w:firstLine="0"/>
              <w:rPr>
                <w:rStyle w:val="ReportTemplate"/>
              </w:rPr>
            </w:pPr>
            <w:r w:rsidRPr="00E37C8D">
              <w:rPr>
                <w:rFonts w:cs="Arial"/>
                <w:noProof/>
                <w:color w:val="000000"/>
                <w:lang w:eastAsia="en-GB"/>
              </w:rPr>
              <w:t>1/59.7</w:t>
            </w:r>
          </w:p>
        </w:tc>
        <w:tc>
          <w:tcPr>
            <w:tcW w:w="1677" w:type="dxa"/>
          </w:tcPr>
          <w:p w14:paraId="7651B96E" w14:textId="1DE6E2A2" w:rsidR="00E37C8D" w:rsidRPr="00E37C8D" w:rsidRDefault="00E37C8D" w:rsidP="00E37C8D">
            <w:pPr>
              <w:ind w:left="0" w:firstLine="0"/>
              <w:rPr>
                <w:rStyle w:val="ReportTemplate"/>
              </w:rPr>
            </w:pPr>
            <w:r w:rsidRPr="00E37C8D">
              <w:rPr>
                <w:rFonts w:cs="Arial"/>
                <w:noProof/>
                <w:color w:val="000000"/>
                <w:lang w:eastAsia="en-GB"/>
              </w:rPr>
              <w:t>1/51.2</w:t>
            </w:r>
          </w:p>
        </w:tc>
      </w:tr>
      <w:tr w:rsidR="00E37C8D" w:rsidRPr="00E37C8D" w14:paraId="72F787B4" w14:textId="3843B549" w:rsidTr="00E37C8D">
        <w:tc>
          <w:tcPr>
            <w:tcW w:w="1677" w:type="dxa"/>
          </w:tcPr>
          <w:p w14:paraId="3BDA34D9" w14:textId="2E45070F" w:rsidR="00E37C8D" w:rsidRPr="00E37C8D" w:rsidRDefault="00E37C8D" w:rsidP="00E37C8D">
            <w:pPr>
              <w:ind w:left="0" w:firstLine="0"/>
              <w:rPr>
                <w:rStyle w:val="ReportTemplate"/>
              </w:rPr>
            </w:pPr>
            <w:r w:rsidRPr="00E37C8D">
              <w:rPr>
                <w:rFonts w:cs="Arial"/>
                <w:noProof/>
                <w:color w:val="000000"/>
                <w:lang w:eastAsia="en-GB"/>
              </w:rPr>
              <w:t>Wales</w:t>
            </w:r>
          </w:p>
        </w:tc>
        <w:tc>
          <w:tcPr>
            <w:tcW w:w="1951" w:type="dxa"/>
          </w:tcPr>
          <w:p w14:paraId="3D2A3662" w14:textId="15AE26D3" w:rsidR="00E37C8D" w:rsidRPr="00E37C8D" w:rsidRDefault="00E37C8D" w:rsidP="00E37C8D">
            <w:pPr>
              <w:ind w:left="0" w:firstLine="0"/>
              <w:rPr>
                <w:rStyle w:val="ReportTemplate"/>
              </w:rPr>
            </w:pPr>
            <w:r w:rsidRPr="00E37C8D">
              <w:rPr>
                <w:rFonts w:cs="Arial"/>
                <w:noProof/>
                <w:color w:val="000000"/>
                <w:lang w:eastAsia="en-GB"/>
              </w:rPr>
              <w:t>17.1%</w:t>
            </w:r>
          </w:p>
        </w:tc>
        <w:tc>
          <w:tcPr>
            <w:tcW w:w="1677" w:type="dxa"/>
          </w:tcPr>
          <w:p w14:paraId="1775275E" w14:textId="0B1D2060" w:rsidR="00E37C8D" w:rsidRPr="00E37C8D" w:rsidRDefault="00E37C8D" w:rsidP="00E37C8D">
            <w:pPr>
              <w:ind w:left="0" w:firstLine="0"/>
              <w:rPr>
                <w:rStyle w:val="ReportTemplate"/>
              </w:rPr>
            </w:pPr>
            <w:r w:rsidRPr="00E37C8D">
              <w:rPr>
                <w:rFonts w:cs="Arial"/>
                <w:noProof/>
                <w:color w:val="000000"/>
                <w:lang w:eastAsia="en-GB"/>
              </w:rPr>
              <w:t>12.3%</w:t>
            </w:r>
          </w:p>
        </w:tc>
        <w:tc>
          <w:tcPr>
            <w:tcW w:w="1677" w:type="dxa"/>
          </w:tcPr>
          <w:p w14:paraId="04740BDB" w14:textId="52AAE9CF" w:rsidR="00E37C8D" w:rsidRPr="00E37C8D" w:rsidRDefault="00E37C8D" w:rsidP="00E37C8D">
            <w:pPr>
              <w:ind w:left="0" w:firstLine="0"/>
              <w:rPr>
                <w:rStyle w:val="ReportTemplate"/>
              </w:rPr>
            </w:pPr>
            <w:r w:rsidRPr="00E37C8D">
              <w:rPr>
                <w:rFonts w:cs="Arial"/>
                <w:noProof/>
                <w:color w:val="000000"/>
                <w:lang w:eastAsia="en-GB"/>
              </w:rPr>
              <w:t>1/61.4</w:t>
            </w:r>
          </w:p>
        </w:tc>
        <w:tc>
          <w:tcPr>
            <w:tcW w:w="1677" w:type="dxa"/>
          </w:tcPr>
          <w:p w14:paraId="188E82F8" w14:textId="3D913260" w:rsidR="00E37C8D" w:rsidRPr="00E37C8D" w:rsidRDefault="00E37C8D" w:rsidP="00E37C8D">
            <w:pPr>
              <w:ind w:left="0" w:firstLine="0"/>
              <w:rPr>
                <w:rStyle w:val="ReportTemplate"/>
              </w:rPr>
            </w:pPr>
            <w:r w:rsidRPr="00E37C8D">
              <w:rPr>
                <w:rFonts w:cs="Arial"/>
                <w:noProof/>
                <w:color w:val="000000"/>
                <w:lang w:eastAsia="en-GB"/>
              </w:rPr>
              <w:t>1/53.1</w:t>
            </w:r>
          </w:p>
        </w:tc>
      </w:tr>
      <w:tr w:rsidR="00E37C8D" w:rsidRPr="00E37C8D" w14:paraId="7774EBF4" w14:textId="2E432894" w:rsidTr="00E37C8D">
        <w:tc>
          <w:tcPr>
            <w:tcW w:w="1677" w:type="dxa"/>
          </w:tcPr>
          <w:p w14:paraId="1D1DF89B" w14:textId="6980BE74" w:rsidR="00E37C8D" w:rsidRPr="00E37C8D" w:rsidRDefault="00E37C8D" w:rsidP="00E37C8D">
            <w:pPr>
              <w:ind w:left="0" w:firstLine="0"/>
              <w:rPr>
                <w:rStyle w:val="ReportTemplate"/>
              </w:rPr>
            </w:pPr>
            <w:r w:rsidRPr="00E37C8D">
              <w:rPr>
                <w:rFonts w:cs="Arial"/>
                <w:noProof/>
                <w:color w:val="000000"/>
                <w:lang w:eastAsia="en-GB"/>
              </w:rPr>
              <w:t>Scotland</w:t>
            </w:r>
          </w:p>
        </w:tc>
        <w:tc>
          <w:tcPr>
            <w:tcW w:w="1951" w:type="dxa"/>
          </w:tcPr>
          <w:p w14:paraId="21D721A9" w14:textId="55142BBE" w:rsidR="00E37C8D" w:rsidRPr="00E37C8D" w:rsidRDefault="00E37C8D" w:rsidP="00E37C8D">
            <w:pPr>
              <w:ind w:left="0" w:firstLine="0"/>
              <w:rPr>
                <w:rStyle w:val="ReportTemplate"/>
              </w:rPr>
            </w:pPr>
            <w:r w:rsidRPr="00E37C8D">
              <w:rPr>
                <w:rFonts w:cs="Arial"/>
                <w:noProof/>
                <w:color w:val="000000"/>
                <w:lang w:eastAsia="en-GB"/>
              </w:rPr>
              <w:t>15.8%</w:t>
            </w:r>
          </w:p>
        </w:tc>
        <w:tc>
          <w:tcPr>
            <w:tcW w:w="1677" w:type="dxa"/>
          </w:tcPr>
          <w:p w14:paraId="55331195" w14:textId="776FB526" w:rsidR="00E37C8D" w:rsidRPr="00E37C8D" w:rsidRDefault="00E37C8D" w:rsidP="00E37C8D">
            <w:pPr>
              <w:ind w:left="0" w:firstLine="0"/>
              <w:rPr>
                <w:rStyle w:val="ReportTemplate"/>
              </w:rPr>
            </w:pPr>
            <w:r w:rsidRPr="00E37C8D">
              <w:rPr>
                <w:rFonts w:cs="Arial"/>
                <w:noProof/>
                <w:color w:val="000000"/>
                <w:lang w:eastAsia="en-GB"/>
              </w:rPr>
              <w:t>10.6%</w:t>
            </w:r>
          </w:p>
        </w:tc>
        <w:tc>
          <w:tcPr>
            <w:tcW w:w="1677" w:type="dxa"/>
          </w:tcPr>
          <w:p w14:paraId="23365C05" w14:textId="01D894C0" w:rsidR="00E37C8D" w:rsidRPr="00E37C8D" w:rsidRDefault="00E37C8D" w:rsidP="00E37C8D">
            <w:pPr>
              <w:ind w:left="0" w:firstLine="0"/>
              <w:rPr>
                <w:rStyle w:val="ReportTemplate"/>
              </w:rPr>
            </w:pPr>
            <w:r w:rsidRPr="00E37C8D">
              <w:rPr>
                <w:rFonts w:cs="Arial"/>
                <w:noProof/>
                <w:color w:val="000000"/>
                <w:lang w:eastAsia="en-GB"/>
              </w:rPr>
              <w:t>1/61.6</w:t>
            </w:r>
          </w:p>
        </w:tc>
        <w:tc>
          <w:tcPr>
            <w:tcW w:w="1677" w:type="dxa"/>
          </w:tcPr>
          <w:p w14:paraId="6178905A" w14:textId="06465855" w:rsidR="00E37C8D" w:rsidRPr="00E37C8D" w:rsidRDefault="00E37C8D" w:rsidP="00E37C8D">
            <w:pPr>
              <w:ind w:left="0" w:firstLine="0"/>
              <w:rPr>
                <w:rStyle w:val="ReportTemplate"/>
              </w:rPr>
            </w:pPr>
            <w:r w:rsidRPr="00E37C8D">
              <w:rPr>
                <w:rFonts w:cs="Arial"/>
                <w:noProof/>
                <w:color w:val="000000"/>
                <w:lang w:eastAsia="en-GB"/>
              </w:rPr>
              <w:t>1/52.6</w:t>
            </w:r>
          </w:p>
        </w:tc>
      </w:tr>
      <w:tr w:rsidR="00E37C8D" w:rsidRPr="00E37C8D" w14:paraId="43D915C5" w14:textId="77777777" w:rsidTr="00E37C8D">
        <w:tc>
          <w:tcPr>
            <w:tcW w:w="1677" w:type="dxa"/>
          </w:tcPr>
          <w:p w14:paraId="135C4632" w14:textId="5A05F7FF" w:rsidR="00E37C8D" w:rsidRPr="00E37C8D" w:rsidRDefault="00E37C8D" w:rsidP="00E37C8D">
            <w:pPr>
              <w:ind w:left="0" w:firstLine="0"/>
              <w:rPr>
                <w:rFonts w:cs="Arial"/>
                <w:noProof/>
                <w:color w:val="000000"/>
                <w:lang w:eastAsia="en-GB"/>
              </w:rPr>
            </w:pPr>
            <w:r w:rsidRPr="00E37C8D">
              <w:rPr>
                <w:rFonts w:cs="Arial"/>
                <w:noProof/>
                <w:color w:val="000000"/>
                <w:lang w:eastAsia="en-GB"/>
              </w:rPr>
              <w:t>Northern Ireland</w:t>
            </w:r>
          </w:p>
        </w:tc>
        <w:tc>
          <w:tcPr>
            <w:tcW w:w="1951" w:type="dxa"/>
          </w:tcPr>
          <w:p w14:paraId="55FD9EE4" w14:textId="01DEEF9E" w:rsidR="00E37C8D" w:rsidRPr="00E37C8D" w:rsidRDefault="00E37C8D" w:rsidP="00E37C8D">
            <w:pPr>
              <w:ind w:left="0" w:firstLine="0"/>
              <w:rPr>
                <w:rStyle w:val="ReportTemplate"/>
              </w:rPr>
            </w:pPr>
            <w:r w:rsidRPr="00E37C8D">
              <w:rPr>
                <w:rFonts w:cs="Arial"/>
                <w:noProof/>
                <w:color w:val="000000"/>
                <w:lang w:eastAsia="en-GB"/>
              </w:rPr>
              <w:t>18.3%</w:t>
            </w:r>
          </w:p>
        </w:tc>
        <w:tc>
          <w:tcPr>
            <w:tcW w:w="1677" w:type="dxa"/>
          </w:tcPr>
          <w:p w14:paraId="7DC5698A" w14:textId="13856E70" w:rsidR="00E37C8D" w:rsidRPr="00E37C8D" w:rsidRDefault="00E37C8D" w:rsidP="00E37C8D">
            <w:pPr>
              <w:ind w:left="0" w:firstLine="0"/>
              <w:rPr>
                <w:rStyle w:val="ReportTemplate"/>
              </w:rPr>
            </w:pPr>
            <w:r w:rsidRPr="00E37C8D">
              <w:rPr>
                <w:rFonts w:cs="Arial"/>
                <w:noProof/>
                <w:color w:val="000000"/>
                <w:lang w:eastAsia="en-GB"/>
              </w:rPr>
              <w:t>13.9%</w:t>
            </w:r>
          </w:p>
        </w:tc>
        <w:tc>
          <w:tcPr>
            <w:tcW w:w="1677" w:type="dxa"/>
          </w:tcPr>
          <w:p w14:paraId="196ED5BC" w14:textId="6CCF4876" w:rsidR="00E37C8D" w:rsidRPr="00E37C8D" w:rsidRDefault="00E37C8D" w:rsidP="00E37C8D">
            <w:pPr>
              <w:ind w:left="0" w:firstLine="0"/>
              <w:rPr>
                <w:rStyle w:val="ReportTemplate"/>
              </w:rPr>
            </w:pPr>
            <w:r w:rsidRPr="00E37C8D">
              <w:rPr>
                <w:rFonts w:cs="Arial"/>
                <w:noProof/>
                <w:color w:val="000000"/>
                <w:lang w:eastAsia="en-GB"/>
              </w:rPr>
              <w:t>1/64.8</w:t>
            </w:r>
          </w:p>
        </w:tc>
        <w:tc>
          <w:tcPr>
            <w:tcW w:w="1677" w:type="dxa"/>
          </w:tcPr>
          <w:p w14:paraId="4C0A57DA" w14:textId="53B764FB" w:rsidR="00E37C8D" w:rsidRPr="00E37C8D" w:rsidRDefault="00E37C8D" w:rsidP="00E37C8D">
            <w:pPr>
              <w:ind w:left="0" w:firstLine="0"/>
              <w:rPr>
                <w:rStyle w:val="ReportTemplate"/>
              </w:rPr>
            </w:pPr>
            <w:r w:rsidRPr="00E37C8D">
              <w:rPr>
                <w:rFonts w:cs="Arial"/>
                <w:noProof/>
                <w:color w:val="000000"/>
                <w:lang w:eastAsia="en-GB"/>
              </w:rPr>
              <w:t>1/57.1</w:t>
            </w:r>
          </w:p>
        </w:tc>
      </w:tr>
    </w:tbl>
    <w:p w14:paraId="04B72D1B" w14:textId="3901168D" w:rsidR="00E37C8D" w:rsidRPr="00E37C8D" w:rsidRDefault="00E37C8D" w:rsidP="00E37C8D">
      <w:pPr>
        <w:ind w:left="0" w:firstLine="0"/>
        <w:rPr>
          <w:rStyle w:val="ReportTemplate"/>
        </w:rPr>
      </w:pPr>
    </w:p>
    <w:p w14:paraId="2D455DD9" w14:textId="77777777" w:rsidR="00E37C8D" w:rsidRPr="00E37C8D" w:rsidRDefault="00E37C8D" w:rsidP="00E37C8D">
      <w:pPr>
        <w:pStyle w:val="ListParagraph"/>
        <w:rPr>
          <w:rFonts w:cs="Arial"/>
          <w:noProof/>
          <w:color w:val="000000"/>
          <w:lang w:eastAsia="en-GB"/>
        </w:rPr>
      </w:pPr>
      <w:r w:rsidRPr="00E37C8D">
        <w:rPr>
          <w:rFonts w:cs="Arial"/>
          <w:noProof/>
          <w:color w:val="000000"/>
          <w:lang w:eastAsia="en-GB"/>
        </w:rPr>
        <w:t xml:space="preserve">Under paragraph 3 of rule </w:t>
      </w:r>
      <w:hyperlink r:id="rId10" w:history="1">
        <w:r w:rsidRPr="00E37C8D">
          <w:rPr>
            <w:rStyle w:val="Hyperlink"/>
            <w:rFonts w:cs="Arial"/>
            <w:noProof/>
            <w:lang w:eastAsia="en-GB"/>
          </w:rPr>
          <w:t>150A</w:t>
        </w:r>
      </w:hyperlink>
      <w:r w:rsidRPr="00E37C8D">
        <w:rPr>
          <w:rFonts w:cs="Arial"/>
          <w:noProof/>
          <w:color w:val="000000"/>
          <w:lang w:eastAsia="en-GB"/>
        </w:rPr>
        <w:t xml:space="preserve"> of the scheme rules the Home Office must consult with the </w:t>
      </w:r>
      <w:hyperlink r:id="rId11" w:history="1">
        <w:r w:rsidRPr="00E37C8D">
          <w:rPr>
            <w:rStyle w:val="Hyperlink"/>
            <w:rFonts w:cs="Arial"/>
            <w:noProof/>
            <w:lang w:eastAsia="en-GB"/>
          </w:rPr>
          <w:t>Scheme Advisory Board</w:t>
        </w:r>
      </w:hyperlink>
      <w:r w:rsidRPr="00E37C8D">
        <w:rPr>
          <w:rFonts w:cs="Arial"/>
          <w:noProof/>
          <w:color w:val="000000"/>
          <w:lang w:eastAsia="en-GB"/>
        </w:rPr>
        <w:t xml:space="preserve"> on the action to be taken to bring the cost back within the target cost. If no agreement can be reached, the default mechanism is to amend the rate at which benefits accrue.</w:t>
      </w:r>
    </w:p>
    <w:p w14:paraId="2FB9FB27" w14:textId="77777777" w:rsidR="00E37C8D" w:rsidRPr="00E37C8D" w:rsidRDefault="00E37C8D" w:rsidP="00E37C8D">
      <w:pPr>
        <w:pStyle w:val="ListParagraph"/>
        <w:numPr>
          <w:ilvl w:val="0"/>
          <w:numId w:val="0"/>
        </w:numPr>
        <w:ind w:left="360"/>
        <w:rPr>
          <w:rFonts w:cs="Arial"/>
          <w:noProof/>
          <w:color w:val="000000"/>
          <w:lang w:eastAsia="en-GB"/>
        </w:rPr>
      </w:pPr>
    </w:p>
    <w:p w14:paraId="52A578E9" w14:textId="77777777" w:rsidR="00E37C8D" w:rsidRPr="00E37C8D" w:rsidRDefault="00E37C8D" w:rsidP="00E37C8D">
      <w:pPr>
        <w:pStyle w:val="ListParagraph"/>
        <w:rPr>
          <w:noProof/>
          <w:lang w:eastAsia="en-GB"/>
        </w:rPr>
      </w:pPr>
      <w:r w:rsidRPr="00E37C8D">
        <w:rPr>
          <w:noProof/>
          <w:lang w:eastAsia="en-GB"/>
        </w:rPr>
        <w:t>The scheme advisory board have consulted with the cost committee on options to recommend to government, and whilst the final proposals are yet to be agreed the likely options for SAB to consider which option will be taken forward to Home Office are;</w:t>
      </w:r>
    </w:p>
    <w:p w14:paraId="15F61D5E" w14:textId="5926965A" w:rsidR="00E37C8D" w:rsidRDefault="00E37C8D" w:rsidP="00E37C8D">
      <w:pPr>
        <w:pStyle w:val="ListParagraph"/>
        <w:numPr>
          <w:ilvl w:val="0"/>
          <w:numId w:val="0"/>
        </w:numPr>
        <w:ind w:left="360"/>
        <w:rPr>
          <w:rStyle w:val="ReportTemplate"/>
        </w:rPr>
      </w:pPr>
      <w:r>
        <w:rPr>
          <w:rStyle w:val="ReportTemplate"/>
        </w:rPr>
        <w:t xml:space="preserve"> </w:t>
      </w:r>
    </w:p>
    <w:p w14:paraId="2852E8D5" w14:textId="51EB4E76" w:rsidR="00E37C8D" w:rsidRPr="00E37C8D" w:rsidRDefault="00E37C8D" w:rsidP="00E37C8D">
      <w:pPr>
        <w:pStyle w:val="ListParagraph"/>
        <w:numPr>
          <w:ilvl w:val="1"/>
          <w:numId w:val="1"/>
        </w:numPr>
      </w:pPr>
      <w:r>
        <w:rPr>
          <w:rFonts w:cs="Arial"/>
          <w:noProof/>
          <w:color w:val="000000"/>
          <w:sz w:val="23"/>
          <w:szCs w:val="23"/>
          <w:lang w:eastAsia="en-GB"/>
        </w:rPr>
        <w:t>‘V</w:t>
      </w:r>
      <w:r w:rsidRPr="00514497">
        <w:rPr>
          <w:rFonts w:cs="Arial"/>
          <w:noProof/>
          <w:color w:val="000000"/>
          <w:sz w:val="23"/>
          <w:szCs w:val="23"/>
          <w:lang w:eastAsia="en-GB"/>
        </w:rPr>
        <w:t>ariable accrual’, this introduce</w:t>
      </w:r>
      <w:r>
        <w:rPr>
          <w:rFonts w:cs="Arial"/>
          <w:noProof/>
          <w:color w:val="000000"/>
          <w:sz w:val="23"/>
          <w:szCs w:val="23"/>
          <w:lang w:eastAsia="en-GB"/>
        </w:rPr>
        <w:t>s</w:t>
      </w:r>
      <w:r w:rsidRPr="00514497">
        <w:rPr>
          <w:rFonts w:cs="Arial"/>
          <w:noProof/>
          <w:color w:val="000000"/>
          <w:sz w:val="23"/>
          <w:szCs w:val="23"/>
          <w:lang w:eastAsia="en-GB"/>
        </w:rPr>
        <w:t xml:space="preserve"> a choice to members to reduce </w:t>
      </w:r>
      <w:r w:rsidR="00014225">
        <w:rPr>
          <w:rFonts w:cs="Arial"/>
          <w:noProof/>
          <w:color w:val="000000"/>
          <w:sz w:val="23"/>
          <w:szCs w:val="23"/>
          <w:lang w:eastAsia="en-GB"/>
        </w:rPr>
        <w:t>their contributions by x per cent</w:t>
      </w:r>
      <w:r>
        <w:rPr>
          <w:rFonts w:cs="Arial"/>
          <w:noProof/>
          <w:color w:val="000000"/>
          <w:sz w:val="23"/>
          <w:szCs w:val="23"/>
          <w:lang w:eastAsia="en-GB"/>
        </w:rPr>
        <w:t xml:space="preserve"> (</w:t>
      </w:r>
      <w:r w:rsidRPr="00514497">
        <w:rPr>
          <w:rFonts w:cs="Arial"/>
          <w:noProof/>
          <w:color w:val="000000"/>
          <w:sz w:val="23"/>
          <w:szCs w:val="23"/>
          <w:lang w:eastAsia="en-GB"/>
        </w:rPr>
        <w:t xml:space="preserve">the </w:t>
      </w:r>
      <w:r>
        <w:rPr>
          <w:rFonts w:cs="Arial"/>
          <w:noProof/>
          <w:color w:val="000000"/>
          <w:sz w:val="23"/>
          <w:szCs w:val="23"/>
          <w:lang w:eastAsia="en-GB"/>
        </w:rPr>
        <w:t>committee</w:t>
      </w:r>
      <w:r w:rsidR="00014225">
        <w:rPr>
          <w:rFonts w:cs="Arial"/>
          <w:noProof/>
          <w:color w:val="000000"/>
          <w:sz w:val="23"/>
          <w:szCs w:val="23"/>
          <w:lang w:eastAsia="en-GB"/>
        </w:rPr>
        <w:t xml:space="preserve"> wanted this to be at 3 per cent</w:t>
      </w:r>
      <w:r w:rsidRPr="00514497">
        <w:rPr>
          <w:rFonts w:cs="Arial"/>
          <w:noProof/>
          <w:color w:val="000000"/>
          <w:sz w:val="23"/>
          <w:szCs w:val="23"/>
          <w:lang w:eastAsia="en-GB"/>
        </w:rPr>
        <w:t xml:space="preserve"> but that might not be possible) and receive less pension, this may be desirable to lower paid members who want to increase their take home pay, or higher paid members who want to limit the growth of the pension within the tax limits so they </w:t>
      </w:r>
      <w:r w:rsidRPr="00514497">
        <w:rPr>
          <w:rFonts w:cs="Arial"/>
          <w:noProof/>
          <w:color w:val="000000"/>
          <w:sz w:val="23"/>
          <w:szCs w:val="23"/>
          <w:lang w:eastAsia="en-GB"/>
        </w:rPr>
        <w:lastRenderedPageBreak/>
        <w:t xml:space="preserve">don’t incur charges.  </w:t>
      </w:r>
      <w:r>
        <w:rPr>
          <w:rFonts w:cs="Arial"/>
          <w:noProof/>
          <w:color w:val="000000"/>
          <w:sz w:val="23"/>
          <w:szCs w:val="23"/>
          <w:lang w:eastAsia="en-GB"/>
        </w:rPr>
        <w:t xml:space="preserve">This option relies on being able to assume a low take up rate, however this may be difficult to get government agreement.  This option will also require </w:t>
      </w:r>
      <w:r w:rsidRPr="00514497">
        <w:rPr>
          <w:rFonts w:cs="Arial"/>
          <w:noProof/>
          <w:color w:val="000000"/>
          <w:sz w:val="23"/>
          <w:szCs w:val="23"/>
          <w:lang w:eastAsia="en-GB"/>
        </w:rPr>
        <w:t xml:space="preserve">a good supporting argument, </w:t>
      </w:r>
      <w:r>
        <w:rPr>
          <w:rFonts w:cs="Arial"/>
          <w:noProof/>
          <w:color w:val="000000"/>
          <w:sz w:val="23"/>
          <w:szCs w:val="23"/>
          <w:lang w:eastAsia="en-GB"/>
        </w:rPr>
        <w:t>as this potentially comes at a cost to the Home</w:t>
      </w:r>
      <w:r w:rsidR="00014225">
        <w:rPr>
          <w:rFonts w:cs="Arial"/>
          <w:noProof/>
          <w:color w:val="000000"/>
          <w:sz w:val="23"/>
          <w:szCs w:val="23"/>
          <w:lang w:eastAsia="en-GB"/>
        </w:rPr>
        <w:t xml:space="preserve"> Office; to illustrate that a 3 per cent</w:t>
      </w:r>
      <w:r>
        <w:rPr>
          <w:rFonts w:cs="Arial"/>
          <w:noProof/>
          <w:color w:val="000000"/>
          <w:sz w:val="23"/>
          <w:szCs w:val="23"/>
          <w:lang w:eastAsia="en-GB"/>
        </w:rPr>
        <w:t xml:space="preserve"> reduction in member contributions ov</w:t>
      </w:r>
      <w:r w:rsidR="00014225">
        <w:rPr>
          <w:rFonts w:cs="Arial"/>
          <w:noProof/>
          <w:color w:val="000000"/>
          <w:sz w:val="23"/>
          <w:szCs w:val="23"/>
          <w:lang w:eastAsia="en-GB"/>
        </w:rPr>
        <w:t>er a four year period with a 10 per cent</w:t>
      </w:r>
      <w:r>
        <w:rPr>
          <w:rFonts w:cs="Arial"/>
          <w:noProof/>
          <w:color w:val="000000"/>
          <w:sz w:val="23"/>
          <w:szCs w:val="23"/>
          <w:lang w:eastAsia="en-GB"/>
        </w:rPr>
        <w:t xml:space="preserve"> take up would cost Home Office</w:t>
      </w:r>
    </w:p>
    <w:p w14:paraId="12D2133B" w14:textId="77777777" w:rsidR="00E37C8D" w:rsidRPr="00E37C8D" w:rsidRDefault="00E37C8D" w:rsidP="00E37C8D">
      <w:pPr>
        <w:pStyle w:val="ListParagraph"/>
        <w:numPr>
          <w:ilvl w:val="0"/>
          <w:numId w:val="0"/>
        </w:numPr>
        <w:ind w:left="792"/>
      </w:pPr>
    </w:p>
    <w:p w14:paraId="394936CA" w14:textId="0FBAF83E" w:rsidR="00E37C8D" w:rsidRDefault="00E37C8D" w:rsidP="00E37C8D">
      <w:pPr>
        <w:pStyle w:val="ListParagraph"/>
        <w:numPr>
          <w:ilvl w:val="1"/>
          <w:numId w:val="1"/>
        </w:numPr>
      </w:pPr>
      <w:r w:rsidRPr="00C90FFB">
        <w:rPr>
          <w:noProof/>
          <w:lang w:eastAsia="en-GB"/>
        </w:rPr>
        <w:t xml:space="preserve">As above but with early retirement factors based on the same principles as Scotland and Wales, where the early retirement factors are calculated based on </w:t>
      </w:r>
      <w:r>
        <w:rPr>
          <w:noProof/>
          <w:lang w:eastAsia="en-GB"/>
        </w:rPr>
        <w:t>different assumptions</w:t>
      </w:r>
      <w:r>
        <w:rPr>
          <w:rStyle w:val="FootnoteReference"/>
          <w:rFonts w:cs="Arial"/>
          <w:noProof/>
          <w:color w:val="000000"/>
          <w:sz w:val="23"/>
          <w:szCs w:val="23"/>
          <w:lang w:eastAsia="en-GB"/>
        </w:rPr>
        <w:footnoteReference w:id="1"/>
      </w:r>
      <w:r w:rsidRPr="00C90FFB">
        <w:rPr>
          <w:noProof/>
          <w:lang w:eastAsia="en-GB"/>
        </w:rPr>
        <w:t xml:space="preserve">, </w:t>
      </w:r>
      <w:r>
        <w:rPr>
          <w:noProof/>
          <w:lang w:eastAsia="en-GB"/>
        </w:rPr>
        <w:t xml:space="preserve">which </w:t>
      </w:r>
      <w:r w:rsidRPr="00C90FFB">
        <w:rPr>
          <w:noProof/>
          <w:lang w:eastAsia="en-GB"/>
        </w:rPr>
        <w:t>has the effect of lowering the early retirement factors</w:t>
      </w:r>
      <w:r>
        <w:rPr>
          <w:noProof/>
          <w:lang w:eastAsia="en-GB"/>
        </w:rPr>
        <w:t>.  It should be noted that this might be difficult to achieve, early retirement terms were part of the negotiated package at the introduction of the 2015 scheme and government did not agree to early retirement terms as had been brought into Scotland and Wales</w:t>
      </w:r>
      <w:r w:rsidRPr="00C90FFB">
        <w:rPr>
          <w:noProof/>
          <w:lang w:eastAsia="en-GB"/>
        </w:rPr>
        <w:t xml:space="preserve">.  It should </w:t>
      </w:r>
      <w:r>
        <w:rPr>
          <w:noProof/>
          <w:lang w:eastAsia="en-GB"/>
        </w:rPr>
        <w:t xml:space="preserve">also </w:t>
      </w:r>
      <w:r w:rsidRPr="00C90FFB">
        <w:rPr>
          <w:noProof/>
          <w:lang w:eastAsia="en-GB"/>
        </w:rPr>
        <w:t xml:space="preserve">be noted that changing early retirement terms could lead to </w:t>
      </w:r>
      <w:r>
        <w:rPr>
          <w:noProof/>
          <w:lang w:eastAsia="en-GB"/>
        </w:rPr>
        <w:t xml:space="preserve">changing </w:t>
      </w:r>
      <w:r w:rsidRPr="00C90FFB">
        <w:rPr>
          <w:noProof/>
          <w:lang w:eastAsia="en-GB"/>
        </w:rPr>
        <w:t>employment trends</w:t>
      </w:r>
      <w:r>
        <w:rPr>
          <w:noProof/>
          <w:lang w:eastAsia="en-GB"/>
        </w:rPr>
        <w:t xml:space="preserve">.  </w:t>
      </w:r>
    </w:p>
    <w:p w14:paraId="7AC79BA0" w14:textId="77777777" w:rsidR="00E37C8D" w:rsidRPr="00C90FFB" w:rsidRDefault="00E37C8D" w:rsidP="00E37C8D">
      <w:pPr>
        <w:pStyle w:val="ListParagraph"/>
        <w:numPr>
          <w:ilvl w:val="0"/>
          <w:numId w:val="0"/>
        </w:numPr>
        <w:ind w:left="792"/>
      </w:pPr>
    </w:p>
    <w:p w14:paraId="357114E6" w14:textId="3BF61E35" w:rsidR="00E37C8D" w:rsidRDefault="00E37C8D" w:rsidP="00E37C8D">
      <w:pPr>
        <w:pStyle w:val="ListParagraph"/>
        <w:numPr>
          <w:ilvl w:val="1"/>
          <w:numId w:val="1"/>
        </w:numPr>
        <w:rPr>
          <w:rStyle w:val="ReportTemplate"/>
        </w:rPr>
      </w:pPr>
      <w:r w:rsidRPr="00E37C8D">
        <w:rPr>
          <w:rStyle w:val="ReportTemplate"/>
        </w:rPr>
        <w:t>Reducing member contrib</w:t>
      </w:r>
      <w:r w:rsidR="00014225">
        <w:rPr>
          <w:rStyle w:val="ReportTemplate"/>
        </w:rPr>
        <w:t>utions by 5.2 per cent</w:t>
      </w:r>
      <w:r w:rsidRPr="00E37C8D">
        <w:rPr>
          <w:rStyle w:val="ReportTemplate"/>
        </w:rPr>
        <w:t xml:space="preserve"> for four years.  The treasury have already given public sector employers a clear steer that this is not the time to reduce scheme income.  Nevertheless it remains an option for the SAB to propose to government.  </w:t>
      </w:r>
    </w:p>
    <w:p w14:paraId="49F067A0" w14:textId="77777777" w:rsidR="00E37C8D" w:rsidRPr="00E37C8D" w:rsidRDefault="00E37C8D" w:rsidP="00E37C8D">
      <w:pPr>
        <w:pStyle w:val="ListParagraph"/>
        <w:numPr>
          <w:ilvl w:val="0"/>
          <w:numId w:val="0"/>
        </w:numPr>
        <w:ind w:left="792"/>
        <w:rPr>
          <w:rStyle w:val="ReportTemplate"/>
        </w:rPr>
      </w:pPr>
    </w:p>
    <w:p w14:paraId="0A49E1B0" w14:textId="204DE533" w:rsidR="00E37C8D" w:rsidRPr="00E37C8D" w:rsidRDefault="00E37C8D" w:rsidP="00E37C8D">
      <w:pPr>
        <w:pStyle w:val="ListParagraph"/>
        <w:rPr>
          <w:b/>
          <w:noProof/>
          <w:lang w:eastAsia="en-GB"/>
        </w:rPr>
      </w:pPr>
      <w:r w:rsidRPr="00E37C8D">
        <w:rPr>
          <w:b/>
          <w:noProof/>
          <w:lang w:eastAsia="en-GB"/>
        </w:rPr>
        <w:t>Employer contribution rates will increase</w:t>
      </w:r>
      <w:r w:rsidR="00014225">
        <w:rPr>
          <w:b/>
          <w:noProof/>
          <w:lang w:eastAsia="en-GB"/>
        </w:rPr>
        <w:t xml:space="preserve"> to an indicative level of 30.2 per cent</w:t>
      </w:r>
      <w:r w:rsidRPr="00E37C8D">
        <w:rPr>
          <w:b/>
          <w:noProof/>
          <w:lang w:eastAsia="en-GB"/>
        </w:rPr>
        <w:t xml:space="preserve"> f</w:t>
      </w:r>
      <w:r w:rsidR="00014225">
        <w:rPr>
          <w:b/>
          <w:noProof/>
          <w:lang w:eastAsia="en-GB"/>
        </w:rPr>
        <w:t>rom the current average of 17.6 per cent</w:t>
      </w:r>
      <w:r w:rsidRPr="00E37C8D">
        <w:rPr>
          <w:b/>
          <w:noProof/>
          <w:lang w:eastAsia="en-GB"/>
        </w:rPr>
        <w:t xml:space="preserve"> from 1 April 2019.  </w:t>
      </w:r>
    </w:p>
    <w:p w14:paraId="270A914A" w14:textId="21F94938" w:rsidR="00E37C8D" w:rsidRDefault="00E37C8D" w:rsidP="00E37C8D">
      <w:pPr>
        <w:pStyle w:val="ListParagraph"/>
        <w:numPr>
          <w:ilvl w:val="0"/>
          <w:numId w:val="0"/>
        </w:numPr>
        <w:ind w:left="360"/>
        <w:rPr>
          <w:noProof/>
          <w:lang w:eastAsia="en-GB"/>
        </w:rPr>
      </w:pPr>
      <w:r>
        <w:rPr>
          <w:noProof/>
          <w:lang w:eastAsia="en-GB"/>
        </w:rPr>
        <w:t xml:space="preserve"> </w:t>
      </w:r>
    </w:p>
    <w:p w14:paraId="5B74915B" w14:textId="1F198EAB" w:rsidR="00E37C8D" w:rsidRDefault="007945F7" w:rsidP="007945F7">
      <w:pPr>
        <w:pStyle w:val="ListParagraph"/>
        <w:rPr>
          <w:rStyle w:val="ReportTemplate"/>
          <w:noProof/>
          <w:lang w:eastAsia="en-GB"/>
        </w:rPr>
      </w:pPr>
      <w:r w:rsidRPr="007945F7">
        <w:rPr>
          <w:rStyle w:val="ReportTemplate"/>
          <w:noProof/>
          <w:lang w:eastAsia="en-GB"/>
        </w:rPr>
        <w:t>This is an average rate across the three schemes, all three schemes individual rates will rise but these figures have not yet been calculated by GAD.  This increase is mainly due to the reduction in the</w:t>
      </w:r>
      <w:r w:rsidR="00014225">
        <w:rPr>
          <w:rStyle w:val="ReportTemplate"/>
          <w:noProof/>
          <w:lang w:eastAsia="en-GB"/>
        </w:rPr>
        <w:t xml:space="preserve"> SCAPE discount rate, from 2.8 per cent </w:t>
      </w:r>
      <w:r w:rsidRPr="007945F7">
        <w:rPr>
          <w:rStyle w:val="ReportTemplate"/>
          <w:noProof/>
          <w:lang w:eastAsia="en-GB"/>
        </w:rPr>
        <w:t>to 2.4</w:t>
      </w:r>
      <w:r w:rsidR="00014225">
        <w:rPr>
          <w:rStyle w:val="ReportTemplate"/>
          <w:noProof/>
          <w:lang w:eastAsia="en-GB"/>
        </w:rPr>
        <w:t xml:space="preserve"> per cent</w:t>
      </w:r>
      <w:r w:rsidRPr="007945F7">
        <w:rPr>
          <w:rStyle w:val="ReportTemplate"/>
          <w:noProof/>
          <w:lang w:eastAsia="en-GB"/>
        </w:rPr>
        <w:t xml:space="preserve"> as confirmed in budget 2018.  </w:t>
      </w:r>
    </w:p>
    <w:p w14:paraId="7905F52A" w14:textId="03C8A884" w:rsidR="007945F7" w:rsidRDefault="007945F7" w:rsidP="007945F7">
      <w:pPr>
        <w:pStyle w:val="ListParagraph"/>
        <w:numPr>
          <w:ilvl w:val="0"/>
          <w:numId w:val="0"/>
        </w:numPr>
        <w:ind w:left="360"/>
        <w:rPr>
          <w:rStyle w:val="ReportTemplate"/>
          <w:noProof/>
          <w:lang w:eastAsia="en-GB"/>
        </w:rPr>
      </w:pPr>
      <w:r>
        <w:rPr>
          <w:rStyle w:val="ReportTemplate"/>
          <w:noProof/>
          <w:lang w:eastAsia="en-GB"/>
        </w:rPr>
        <w:t xml:space="preserve"> </w:t>
      </w:r>
    </w:p>
    <w:p w14:paraId="749B4590" w14:textId="7AE1B962" w:rsidR="007945F7" w:rsidRDefault="007945F7" w:rsidP="007945F7">
      <w:pPr>
        <w:pStyle w:val="ListParagraph"/>
        <w:rPr>
          <w:rStyle w:val="ReportTemplate"/>
          <w:noProof/>
          <w:lang w:eastAsia="en-GB"/>
        </w:rPr>
      </w:pPr>
      <w:r w:rsidRPr="007945F7">
        <w:rPr>
          <w:rStyle w:val="ReportTemplate"/>
          <w:noProof/>
          <w:lang w:eastAsia="en-GB"/>
        </w:rPr>
        <w:t>For information this position is reflected across all the devolved governments with indicative employer contribution rates as follows</w:t>
      </w:r>
      <w:r>
        <w:rPr>
          <w:rStyle w:val="ReportTemplate"/>
          <w:noProof/>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7945F7" w14:paraId="612725D3" w14:textId="77777777" w:rsidTr="007945F7">
        <w:tc>
          <w:tcPr>
            <w:tcW w:w="3005" w:type="dxa"/>
          </w:tcPr>
          <w:p w14:paraId="144905CE" w14:textId="77777777" w:rsidR="007945F7" w:rsidRDefault="007945F7" w:rsidP="007945F7">
            <w:pPr>
              <w:ind w:left="0" w:firstLine="0"/>
              <w:rPr>
                <w:rStyle w:val="ReportTemplate"/>
                <w:noProof/>
                <w:lang w:eastAsia="en-GB"/>
              </w:rPr>
            </w:pPr>
          </w:p>
        </w:tc>
        <w:tc>
          <w:tcPr>
            <w:tcW w:w="3005" w:type="dxa"/>
          </w:tcPr>
          <w:p w14:paraId="50705FCA" w14:textId="7BE1067D" w:rsidR="007945F7" w:rsidRDefault="007945F7" w:rsidP="007945F7">
            <w:pPr>
              <w:ind w:left="0" w:firstLine="0"/>
              <w:rPr>
                <w:rStyle w:val="ReportTemplate"/>
                <w:noProof/>
                <w:lang w:eastAsia="en-GB"/>
              </w:rPr>
            </w:pPr>
            <w:r w:rsidRPr="007945F7">
              <w:rPr>
                <w:rStyle w:val="ReportTemplate"/>
                <w:noProof/>
                <w:lang w:eastAsia="en-GB"/>
              </w:rPr>
              <w:t>Current Average Contribution</w:t>
            </w:r>
          </w:p>
        </w:tc>
        <w:tc>
          <w:tcPr>
            <w:tcW w:w="3006" w:type="dxa"/>
          </w:tcPr>
          <w:p w14:paraId="0217ABD1" w14:textId="5B140DC5" w:rsidR="007945F7" w:rsidRDefault="007945F7" w:rsidP="007945F7">
            <w:pPr>
              <w:ind w:left="0" w:firstLine="0"/>
              <w:rPr>
                <w:rStyle w:val="ReportTemplate"/>
                <w:noProof/>
                <w:lang w:eastAsia="en-GB"/>
              </w:rPr>
            </w:pPr>
            <w:r w:rsidRPr="007945F7">
              <w:rPr>
                <w:rStyle w:val="ReportTemplate"/>
                <w:noProof/>
                <w:lang w:eastAsia="en-GB"/>
              </w:rPr>
              <w:t>Indicative average contributon from 1 April 2019</w:t>
            </w:r>
          </w:p>
        </w:tc>
      </w:tr>
      <w:tr w:rsidR="007945F7" w14:paraId="55AF703B" w14:textId="77777777" w:rsidTr="007945F7">
        <w:tc>
          <w:tcPr>
            <w:tcW w:w="3005" w:type="dxa"/>
          </w:tcPr>
          <w:p w14:paraId="35E2F2A3" w14:textId="2E53692E" w:rsidR="007945F7" w:rsidRPr="007945F7" w:rsidRDefault="007945F7" w:rsidP="007945F7">
            <w:pPr>
              <w:ind w:left="0" w:firstLine="0"/>
              <w:rPr>
                <w:rStyle w:val="ReportTemplate"/>
                <w:noProof/>
                <w:lang w:eastAsia="en-GB"/>
              </w:rPr>
            </w:pPr>
            <w:r w:rsidRPr="007945F7">
              <w:rPr>
                <w:rFonts w:cs="Arial"/>
                <w:noProof/>
                <w:color w:val="000000"/>
                <w:lang w:eastAsia="en-GB"/>
              </w:rPr>
              <w:t>England</w:t>
            </w:r>
          </w:p>
        </w:tc>
        <w:tc>
          <w:tcPr>
            <w:tcW w:w="3005" w:type="dxa"/>
          </w:tcPr>
          <w:p w14:paraId="5E831FAB" w14:textId="559A63C4" w:rsidR="007945F7" w:rsidRDefault="007945F7" w:rsidP="007945F7">
            <w:pPr>
              <w:ind w:left="0" w:firstLine="0"/>
              <w:rPr>
                <w:rStyle w:val="ReportTemplate"/>
                <w:noProof/>
                <w:lang w:eastAsia="en-GB"/>
              </w:rPr>
            </w:pPr>
            <w:r>
              <w:rPr>
                <w:rFonts w:cs="Arial"/>
                <w:noProof/>
                <w:color w:val="000000"/>
                <w:sz w:val="23"/>
                <w:szCs w:val="23"/>
                <w:lang w:eastAsia="en-GB"/>
              </w:rPr>
              <w:t>17.6%</w:t>
            </w:r>
          </w:p>
        </w:tc>
        <w:tc>
          <w:tcPr>
            <w:tcW w:w="3006" w:type="dxa"/>
          </w:tcPr>
          <w:p w14:paraId="6762D5C2" w14:textId="714FE267" w:rsidR="007945F7" w:rsidRDefault="007945F7" w:rsidP="007945F7">
            <w:pPr>
              <w:ind w:left="0" w:firstLine="0"/>
              <w:rPr>
                <w:rStyle w:val="ReportTemplate"/>
                <w:noProof/>
                <w:lang w:eastAsia="en-GB"/>
              </w:rPr>
            </w:pPr>
            <w:r>
              <w:rPr>
                <w:rFonts w:cs="Arial"/>
                <w:noProof/>
                <w:color w:val="000000"/>
                <w:sz w:val="23"/>
                <w:szCs w:val="23"/>
                <w:lang w:eastAsia="en-GB"/>
              </w:rPr>
              <w:t>30.2%</w:t>
            </w:r>
          </w:p>
        </w:tc>
      </w:tr>
      <w:tr w:rsidR="007945F7" w14:paraId="17F60EC8" w14:textId="77777777" w:rsidTr="007945F7">
        <w:tc>
          <w:tcPr>
            <w:tcW w:w="3005" w:type="dxa"/>
          </w:tcPr>
          <w:p w14:paraId="467171D5" w14:textId="50F6C74D" w:rsidR="007945F7" w:rsidRDefault="007945F7" w:rsidP="007945F7">
            <w:pPr>
              <w:ind w:left="0" w:firstLine="0"/>
              <w:rPr>
                <w:rStyle w:val="ReportTemplate"/>
                <w:noProof/>
                <w:lang w:eastAsia="en-GB"/>
              </w:rPr>
            </w:pPr>
            <w:r>
              <w:rPr>
                <w:rFonts w:cs="Arial"/>
                <w:noProof/>
                <w:color w:val="000000"/>
                <w:sz w:val="23"/>
                <w:szCs w:val="23"/>
                <w:lang w:eastAsia="en-GB"/>
              </w:rPr>
              <w:t>Wales</w:t>
            </w:r>
          </w:p>
        </w:tc>
        <w:tc>
          <w:tcPr>
            <w:tcW w:w="3005" w:type="dxa"/>
          </w:tcPr>
          <w:p w14:paraId="0928CF86" w14:textId="3A91275C" w:rsidR="007945F7" w:rsidRDefault="007945F7" w:rsidP="007945F7">
            <w:pPr>
              <w:ind w:left="0" w:firstLine="0"/>
              <w:rPr>
                <w:rStyle w:val="ReportTemplate"/>
                <w:noProof/>
                <w:lang w:eastAsia="en-GB"/>
              </w:rPr>
            </w:pPr>
            <w:r>
              <w:rPr>
                <w:rFonts w:cs="Arial"/>
                <w:noProof/>
                <w:color w:val="000000"/>
                <w:sz w:val="23"/>
                <w:szCs w:val="23"/>
                <w:lang w:eastAsia="en-GB"/>
              </w:rPr>
              <w:t>18.7%</w:t>
            </w:r>
          </w:p>
        </w:tc>
        <w:tc>
          <w:tcPr>
            <w:tcW w:w="3006" w:type="dxa"/>
          </w:tcPr>
          <w:p w14:paraId="7DAE04AB" w14:textId="20AD7252" w:rsidR="007945F7" w:rsidRDefault="007945F7" w:rsidP="007945F7">
            <w:pPr>
              <w:ind w:left="0" w:firstLine="0"/>
              <w:rPr>
                <w:rStyle w:val="ReportTemplate"/>
                <w:noProof/>
                <w:lang w:eastAsia="en-GB"/>
              </w:rPr>
            </w:pPr>
            <w:r>
              <w:rPr>
                <w:rFonts w:cs="Arial"/>
                <w:noProof/>
                <w:color w:val="000000"/>
                <w:sz w:val="23"/>
                <w:szCs w:val="23"/>
                <w:lang w:eastAsia="en-GB"/>
              </w:rPr>
              <w:t>28.3%</w:t>
            </w:r>
          </w:p>
        </w:tc>
      </w:tr>
      <w:tr w:rsidR="007945F7" w14:paraId="47165A5B" w14:textId="77777777" w:rsidTr="007945F7">
        <w:tc>
          <w:tcPr>
            <w:tcW w:w="3005" w:type="dxa"/>
          </w:tcPr>
          <w:p w14:paraId="55A1CF78" w14:textId="2648BAA7" w:rsidR="007945F7" w:rsidRDefault="007945F7" w:rsidP="007945F7">
            <w:pPr>
              <w:ind w:left="0" w:firstLine="0"/>
              <w:rPr>
                <w:rStyle w:val="ReportTemplate"/>
                <w:noProof/>
                <w:lang w:eastAsia="en-GB"/>
              </w:rPr>
            </w:pPr>
            <w:r>
              <w:rPr>
                <w:rFonts w:cs="Arial"/>
                <w:noProof/>
                <w:color w:val="000000"/>
                <w:sz w:val="23"/>
                <w:szCs w:val="23"/>
                <w:lang w:eastAsia="en-GB"/>
              </w:rPr>
              <w:t>Scotland</w:t>
            </w:r>
          </w:p>
        </w:tc>
        <w:tc>
          <w:tcPr>
            <w:tcW w:w="3005" w:type="dxa"/>
          </w:tcPr>
          <w:p w14:paraId="3BA10D01" w14:textId="6D9FC2A5" w:rsidR="007945F7" w:rsidRDefault="007945F7" w:rsidP="007945F7">
            <w:pPr>
              <w:ind w:left="0" w:firstLine="0"/>
              <w:rPr>
                <w:rStyle w:val="ReportTemplate"/>
                <w:noProof/>
                <w:lang w:eastAsia="en-GB"/>
              </w:rPr>
            </w:pPr>
            <w:r>
              <w:rPr>
                <w:rFonts w:cs="Arial"/>
                <w:noProof/>
                <w:color w:val="000000"/>
                <w:sz w:val="23"/>
                <w:szCs w:val="23"/>
                <w:lang w:eastAsia="en-GB"/>
              </w:rPr>
              <w:t>21.4%</w:t>
            </w:r>
          </w:p>
        </w:tc>
        <w:tc>
          <w:tcPr>
            <w:tcW w:w="3006" w:type="dxa"/>
          </w:tcPr>
          <w:p w14:paraId="2C7CB41C" w14:textId="390772A8" w:rsidR="007945F7" w:rsidRDefault="007945F7" w:rsidP="007945F7">
            <w:pPr>
              <w:ind w:left="0" w:firstLine="0"/>
              <w:rPr>
                <w:rStyle w:val="ReportTemplate"/>
                <w:noProof/>
                <w:lang w:eastAsia="en-GB"/>
              </w:rPr>
            </w:pPr>
            <w:r>
              <w:rPr>
                <w:rFonts w:cs="Arial"/>
                <w:noProof/>
                <w:color w:val="000000"/>
                <w:sz w:val="23"/>
                <w:szCs w:val="23"/>
                <w:lang w:eastAsia="en-GB"/>
              </w:rPr>
              <w:t>28.5%</w:t>
            </w:r>
          </w:p>
        </w:tc>
      </w:tr>
      <w:tr w:rsidR="007945F7" w14:paraId="77856E64" w14:textId="77777777" w:rsidTr="007945F7">
        <w:tc>
          <w:tcPr>
            <w:tcW w:w="3005" w:type="dxa"/>
          </w:tcPr>
          <w:p w14:paraId="7945A2CF" w14:textId="54E8E93D" w:rsidR="007945F7" w:rsidRDefault="007945F7" w:rsidP="007945F7">
            <w:pPr>
              <w:ind w:left="0" w:firstLine="0"/>
              <w:rPr>
                <w:rFonts w:cs="Arial"/>
                <w:noProof/>
                <w:color w:val="000000"/>
                <w:sz w:val="23"/>
                <w:szCs w:val="23"/>
                <w:lang w:eastAsia="en-GB"/>
              </w:rPr>
            </w:pPr>
            <w:r>
              <w:rPr>
                <w:rFonts w:cs="Arial"/>
                <w:noProof/>
                <w:color w:val="000000"/>
                <w:sz w:val="23"/>
                <w:szCs w:val="23"/>
                <w:lang w:eastAsia="en-GB"/>
              </w:rPr>
              <w:t>Northern Ireland</w:t>
            </w:r>
          </w:p>
        </w:tc>
        <w:tc>
          <w:tcPr>
            <w:tcW w:w="3005" w:type="dxa"/>
          </w:tcPr>
          <w:p w14:paraId="7F83D6C8" w14:textId="24FB260F" w:rsidR="007945F7" w:rsidRDefault="007945F7" w:rsidP="007945F7">
            <w:pPr>
              <w:ind w:left="0" w:firstLine="0"/>
              <w:rPr>
                <w:rStyle w:val="ReportTemplate"/>
                <w:noProof/>
                <w:lang w:eastAsia="en-GB"/>
              </w:rPr>
            </w:pPr>
            <w:r>
              <w:rPr>
                <w:rFonts w:cs="Arial"/>
                <w:noProof/>
                <w:color w:val="000000"/>
                <w:sz w:val="23"/>
                <w:szCs w:val="23"/>
                <w:lang w:eastAsia="en-GB"/>
              </w:rPr>
              <w:t>24.3%</w:t>
            </w:r>
          </w:p>
        </w:tc>
        <w:tc>
          <w:tcPr>
            <w:tcW w:w="3006" w:type="dxa"/>
          </w:tcPr>
          <w:p w14:paraId="7FD3B2F5" w14:textId="6DC659B7" w:rsidR="007945F7" w:rsidRDefault="007945F7" w:rsidP="007945F7">
            <w:pPr>
              <w:ind w:left="0" w:firstLine="0"/>
              <w:rPr>
                <w:rStyle w:val="ReportTemplate"/>
                <w:noProof/>
                <w:lang w:eastAsia="en-GB"/>
              </w:rPr>
            </w:pPr>
            <w:r>
              <w:rPr>
                <w:rFonts w:cs="Arial"/>
                <w:noProof/>
                <w:color w:val="000000"/>
                <w:sz w:val="23"/>
                <w:szCs w:val="23"/>
                <w:lang w:eastAsia="en-GB"/>
              </w:rPr>
              <w:t>34.1%</w:t>
            </w:r>
          </w:p>
        </w:tc>
      </w:tr>
    </w:tbl>
    <w:p w14:paraId="2015AEDB" w14:textId="4050467B" w:rsidR="007945F7" w:rsidRDefault="007945F7" w:rsidP="007945F7">
      <w:pPr>
        <w:ind w:left="0" w:firstLine="0"/>
        <w:rPr>
          <w:rStyle w:val="ReportTemplate"/>
          <w:noProof/>
          <w:lang w:eastAsia="en-GB"/>
        </w:rPr>
      </w:pPr>
      <w:r w:rsidRPr="007945F7">
        <w:rPr>
          <w:rStyle w:val="ReportTemplate"/>
          <w:noProof/>
          <w:lang w:eastAsia="en-GB"/>
        </w:rPr>
        <w:lastRenderedPageBreak/>
        <w:t>Scheme Advisory Board</w:t>
      </w:r>
    </w:p>
    <w:p w14:paraId="614F268D" w14:textId="77777777" w:rsidR="007945F7" w:rsidRDefault="007945F7" w:rsidP="007945F7">
      <w:pPr>
        <w:pStyle w:val="ListParagraph"/>
        <w:rPr>
          <w:noProof/>
          <w:lang w:eastAsia="en-GB"/>
        </w:rPr>
      </w:pPr>
      <w:r w:rsidRPr="00C90FFB">
        <w:rPr>
          <w:noProof/>
          <w:lang w:eastAsia="en-GB"/>
        </w:rPr>
        <w:t xml:space="preserve">The levy for the 2018/2019 year of £7.69 per active member had now been invoiced for.  This allows the SAB to provide increased centralised support and is designed to meet the cost effectiveness objective. </w:t>
      </w:r>
    </w:p>
    <w:p w14:paraId="62ACB65F" w14:textId="72863F81" w:rsidR="007945F7" w:rsidRDefault="007945F7" w:rsidP="007945F7">
      <w:pPr>
        <w:pStyle w:val="ListParagraph"/>
        <w:numPr>
          <w:ilvl w:val="0"/>
          <w:numId w:val="0"/>
        </w:numPr>
        <w:ind w:left="360"/>
        <w:rPr>
          <w:rStyle w:val="ReportTemplate"/>
          <w:noProof/>
          <w:lang w:eastAsia="en-GB"/>
        </w:rPr>
      </w:pPr>
      <w:r>
        <w:rPr>
          <w:rStyle w:val="ReportTemplate"/>
          <w:noProof/>
          <w:lang w:eastAsia="en-GB"/>
        </w:rPr>
        <w:t xml:space="preserve"> </w:t>
      </w:r>
    </w:p>
    <w:p w14:paraId="47A5008C" w14:textId="77777777" w:rsidR="007945F7" w:rsidRPr="003A78A8" w:rsidRDefault="007945F7" w:rsidP="007945F7">
      <w:pPr>
        <w:pStyle w:val="ListParagraph"/>
        <w:rPr>
          <w:noProof/>
          <w:lang w:eastAsia="en-GB"/>
        </w:rPr>
      </w:pPr>
      <w:r>
        <w:rPr>
          <w:noProof/>
          <w:lang w:eastAsia="en-GB"/>
        </w:rPr>
        <w:t xml:space="preserve">The SAB benchmark project will formally commence from 19 November 2018, with surveys being sent to Scheme Managers and Administrators.  </w:t>
      </w:r>
      <w:r w:rsidRPr="003A78A8">
        <w:rPr>
          <w:noProof/>
          <w:lang w:eastAsia="en-GB"/>
        </w:rPr>
        <w:t xml:space="preserve">This is an essential project for the SAB as it will the board to consider the future of administering the Firefighters’ Pension Scheme and whether there are cost savings that can be made. </w:t>
      </w:r>
    </w:p>
    <w:p w14:paraId="1832DE48" w14:textId="2E70832A" w:rsidR="007945F7" w:rsidRDefault="007945F7" w:rsidP="007945F7">
      <w:pPr>
        <w:ind w:left="0" w:firstLine="0"/>
        <w:rPr>
          <w:rStyle w:val="ReportTemplate"/>
          <w:noProof/>
          <w:lang w:eastAsia="en-GB"/>
        </w:rPr>
      </w:pPr>
      <w:r w:rsidRPr="007945F7">
        <w:rPr>
          <w:rStyle w:val="ReportTemplate"/>
          <w:noProof/>
          <w:lang w:eastAsia="en-GB"/>
        </w:rPr>
        <w:t>LGA Firefighter Pension Scheme Communications and Events</w:t>
      </w:r>
      <w:r>
        <w:rPr>
          <w:rStyle w:val="ReportTemplate"/>
          <w:noProof/>
          <w:lang w:eastAsia="en-GB"/>
        </w:rPr>
        <w:t xml:space="preserve"> </w:t>
      </w:r>
    </w:p>
    <w:p w14:paraId="0BE46484" w14:textId="77777777" w:rsidR="007945F7" w:rsidRPr="003A78A8" w:rsidRDefault="007945F7" w:rsidP="007945F7">
      <w:pPr>
        <w:pStyle w:val="ListParagraph"/>
        <w:rPr>
          <w:noProof/>
          <w:lang w:eastAsia="en-GB"/>
        </w:rPr>
      </w:pPr>
      <w:r>
        <w:rPr>
          <w:noProof/>
          <w:lang w:eastAsia="en-GB"/>
        </w:rPr>
        <w:t xml:space="preserve">Under the regulations the Fire Authority is defined as the scheme manager, and all responsibility for the scheme rests with the scheme manager.  The pensions team are now offering short, high level scheme manager training sessions to elected members on their duties as scheme manager. Any Fire Authority interested in receing training should email </w:t>
      </w:r>
      <w:hyperlink r:id="rId12" w:history="1">
        <w:r w:rsidRPr="00743392">
          <w:rPr>
            <w:rStyle w:val="Hyperlink"/>
            <w:rFonts w:cs="Arial"/>
            <w:noProof/>
            <w:sz w:val="23"/>
            <w:szCs w:val="23"/>
            <w:lang w:eastAsia="en-GB"/>
          </w:rPr>
          <w:t>clair.alcock@local.gov.uk</w:t>
        </w:r>
      </w:hyperlink>
      <w:r>
        <w:rPr>
          <w:noProof/>
          <w:lang w:eastAsia="en-GB"/>
        </w:rPr>
        <w:t xml:space="preserve">. </w:t>
      </w:r>
    </w:p>
    <w:p w14:paraId="00F42A48" w14:textId="3A8AC082" w:rsidR="007945F7" w:rsidRDefault="007945F7" w:rsidP="007945F7">
      <w:pPr>
        <w:ind w:left="0" w:firstLine="0"/>
        <w:rPr>
          <w:rStyle w:val="ReportTemplate"/>
          <w:b/>
          <w:noProof/>
          <w:lang w:eastAsia="en-GB"/>
        </w:rPr>
      </w:pPr>
      <w:r>
        <w:rPr>
          <w:rStyle w:val="ReportTemplate"/>
          <w:b/>
          <w:noProof/>
          <w:lang w:eastAsia="en-GB"/>
        </w:rPr>
        <w:t>Key Wider Workerforce Issues</w:t>
      </w:r>
    </w:p>
    <w:p w14:paraId="6905FFE1" w14:textId="597CA508" w:rsidR="007945F7" w:rsidRPr="007945F7" w:rsidRDefault="007945F7" w:rsidP="007945F7">
      <w:pPr>
        <w:ind w:left="0" w:firstLine="0"/>
        <w:rPr>
          <w:rStyle w:val="ReportTemplate"/>
          <w:noProof/>
          <w:lang w:eastAsia="en-GB"/>
        </w:rPr>
      </w:pPr>
      <w:r w:rsidRPr="007945F7">
        <w:rPr>
          <w:rStyle w:val="ReportTemplate"/>
          <w:noProof/>
          <w:lang w:eastAsia="en-GB"/>
        </w:rPr>
        <w:t>Broadening the role of the firefighter / Pay</w:t>
      </w:r>
    </w:p>
    <w:p w14:paraId="343F7AD6" w14:textId="77777777" w:rsidR="007945F7" w:rsidRDefault="007945F7" w:rsidP="007945F7">
      <w:pPr>
        <w:pStyle w:val="ListParagraph"/>
        <w:rPr>
          <w:lang w:eastAsia="en-GB"/>
        </w:rPr>
      </w:pPr>
      <w:r w:rsidRPr="003A78A8">
        <w:rPr>
          <w:lang w:eastAsia="en-GB"/>
        </w:rPr>
        <w:t>The term ‘broadening the role’ refers to an NJC commitment to work jointly together on changes identified by each Side to ensure that there is a pay framework alongside terms and conditions in the fire and rescue service which reflect the responsibilities of, and current and future demands on, the service and the profession. Substantial work to date has looked at areas such as environmental challenges, emergency medical response, health and community, inspection and enforcement and multi-agency emergency response (which includes MTFA).</w:t>
      </w:r>
    </w:p>
    <w:p w14:paraId="01B2057A" w14:textId="77777777" w:rsidR="007945F7" w:rsidRPr="003A78A8" w:rsidRDefault="007945F7" w:rsidP="007945F7">
      <w:pPr>
        <w:pStyle w:val="ListParagraph"/>
        <w:numPr>
          <w:ilvl w:val="0"/>
          <w:numId w:val="0"/>
        </w:numPr>
        <w:ind w:left="360"/>
        <w:rPr>
          <w:lang w:eastAsia="en-GB"/>
        </w:rPr>
      </w:pPr>
    </w:p>
    <w:p w14:paraId="09D8514C" w14:textId="6667804D" w:rsidR="007945F7" w:rsidRDefault="007945F7" w:rsidP="007945F7">
      <w:pPr>
        <w:pStyle w:val="ListParagraph"/>
        <w:rPr>
          <w:lang w:eastAsia="en-GB"/>
        </w:rPr>
      </w:pPr>
      <w:r w:rsidRPr="00F53603">
        <w:rPr>
          <w:lang w:eastAsia="en-GB"/>
        </w:rPr>
        <w:t xml:space="preserve">The FBU has recently made its aspirations in terms of pay clear. </w:t>
      </w:r>
      <w:r w:rsidR="00014225">
        <w:rPr>
          <w:lang w:eastAsia="en-GB"/>
        </w:rPr>
        <w:t>It seeks an uplift in pay of 17 per cent</w:t>
      </w:r>
      <w:r w:rsidRPr="00F53603">
        <w:rPr>
          <w:lang w:eastAsia="en-GB"/>
        </w:rPr>
        <w:t xml:space="preserve">. </w:t>
      </w:r>
      <w:r>
        <w:rPr>
          <w:lang w:eastAsia="en-GB"/>
        </w:rPr>
        <w:t xml:space="preserve">A copy of the letter was provided to Chairs and Chief Fire Officers </w:t>
      </w:r>
      <w:r w:rsidRPr="00F53603">
        <w:rPr>
          <w:lang w:eastAsia="en-GB"/>
        </w:rPr>
        <w:t xml:space="preserve">by email </w:t>
      </w:r>
      <w:r>
        <w:rPr>
          <w:lang w:eastAsia="en-GB"/>
        </w:rPr>
        <w:t xml:space="preserve">when received </w:t>
      </w:r>
      <w:r w:rsidRPr="00F53603">
        <w:rPr>
          <w:lang w:eastAsia="en-GB"/>
        </w:rPr>
        <w:t xml:space="preserve">on </w:t>
      </w:r>
      <w:r>
        <w:rPr>
          <w:lang w:eastAsia="en-GB"/>
        </w:rPr>
        <w:t xml:space="preserve">the </w:t>
      </w:r>
      <w:r w:rsidRPr="00F53603">
        <w:rPr>
          <w:lang w:eastAsia="en-GB"/>
        </w:rPr>
        <w:t>18</w:t>
      </w:r>
      <w:r w:rsidRPr="00F53603">
        <w:rPr>
          <w:vertAlign w:val="superscript"/>
          <w:lang w:eastAsia="en-GB"/>
        </w:rPr>
        <w:t>th</w:t>
      </w:r>
      <w:r w:rsidRPr="00F53603">
        <w:rPr>
          <w:lang w:eastAsia="en-GB"/>
        </w:rPr>
        <w:t xml:space="preserve"> October. </w:t>
      </w:r>
      <w:r>
        <w:rPr>
          <w:lang w:eastAsia="en-GB"/>
        </w:rPr>
        <w:t>There was no reference to a time period other than: ‘</w:t>
      </w:r>
      <w:r w:rsidRPr="008F1948">
        <w:rPr>
          <w:i/>
          <w:lang w:eastAsia="en-GB"/>
        </w:rPr>
        <w:t>We are aware that employers have previously mentioned making increases in phases. In the event of an agreement, we seek increases to be paid as quickly as possible.</w:t>
      </w:r>
      <w:r>
        <w:rPr>
          <w:lang w:eastAsia="en-GB"/>
        </w:rPr>
        <w:t>’</w:t>
      </w:r>
      <w:r w:rsidRPr="008F1948">
        <w:rPr>
          <w:lang w:eastAsia="en-GB"/>
        </w:rPr>
        <w:t xml:space="preserve"> </w:t>
      </w:r>
      <w:r w:rsidRPr="00F53603">
        <w:rPr>
          <w:lang w:eastAsia="en-GB"/>
        </w:rPr>
        <w:t xml:space="preserve">From an employer perspective, FRA Chairs and Chief Fire Officers have been clear on the maximum contribution that could be made to any pay award </w:t>
      </w:r>
      <w:r>
        <w:rPr>
          <w:lang w:eastAsia="en-GB"/>
        </w:rPr>
        <w:t xml:space="preserve">in each phase </w:t>
      </w:r>
      <w:r w:rsidRPr="00F53603">
        <w:rPr>
          <w:lang w:eastAsia="en-GB"/>
        </w:rPr>
        <w:t xml:space="preserve">and that any further increase would need to be as a result of </w:t>
      </w:r>
      <w:r>
        <w:rPr>
          <w:lang w:eastAsia="en-GB"/>
        </w:rPr>
        <w:t xml:space="preserve">securing </w:t>
      </w:r>
      <w:r w:rsidRPr="00F53603">
        <w:rPr>
          <w:lang w:eastAsia="en-GB"/>
        </w:rPr>
        <w:t xml:space="preserve">additional </w:t>
      </w:r>
      <w:r>
        <w:rPr>
          <w:lang w:eastAsia="en-GB"/>
        </w:rPr>
        <w:t xml:space="preserve">and sustainable funding </w:t>
      </w:r>
      <w:r w:rsidRPr="008F1948">
        <w:rPr>
          <w:lang w:eastAsia="en-GB"/>
        </w:rPr>
        <w:t>and where directly applicable potentially greater precept flexibility.</w:t>
      </w:r>
      <w:r w:rsidRPr="00F53603">
        <w:rPr>
          <w:lang w:eastAsia="en-GB"/>
        </w:rPr>
        <w:t xml:space="preserve"> That remains the national employers’ position, recognising also the need to broaden the role. </w:t>
      </w:r>
    </w:p>
    <w:p w14:paraId="1F12CB13" w14:textId="2A6F2CB9" w:rsidR="007945F7" w:rsidRDefault="007945F7" w:rsidP="007945F7">
      <w:pPr>
        <w:pStyle w:val="ListParagraph"/>
        <w:numPr>
          <w:ilvl w:val="0"/>
          <w:numId w:val="0"/>
        </w:numPr>
        <w:ind w:left="360"/>
        <w:rPr>
          <w:rStyle w:val="ReportTemplate"/>
          <w:noProof/>
          <w:lang w:eastAsia="en-GB"/>
        </w:rPr>
      </w:pPr>
      <w:r>
        <w:rPr>
          <w:rStyle w:val="ReportTemplate"/>
          <w:noProof/>
          <w:lang w:eastAsia="en-GB"/>
        </w:rPr>
        <w:t xml:space="preserve"> </w:t>
      </w:r>
    </w:p>
    <w:p w14:paraId="36EDB656" w14:textId="77777777" w:rsidR="007945F7" w:rsidRDefault="007945F7" w:rsidP="007945F7">
      <w:pPr>
        <w:pStyle w:val="ListParagraph"/>
        <w:rPr>
          <w:lang w:eastAsia="en-GB"/>
        </w:rPr>
      </w:pPr>
      <w:r w:rsidRPr="003A78A8">
        <w:rPr>
          <w:lang w:eastAsia="en-GB"/>
        </w:rPr>
        <w:t>Both sides of the National Joint Council (NJC) remain fully committed to identifying a mutually acceptable resolution and negotiations are therefore continuing with frequent meetings taking place</w:t>
      </w:r>
      <w:r>
        <w:rPr>
          <w:lang w:eastAsia="en-GB"/>
        </w:rPr>
        <w:t xml:space="preserve"> both on the content of any deal and related pay. </w:t>
      </w:r>
    </w:p>
    <w:p w14:paraId="106C6BC5" w14:textId="779B7726" w:rsidR="007945F7" w:rsidRDefault="007945F7" w:rsidP="007945F7">
      <w:pPr>
        <w:pStyle w:val="ListParagraph"/>
        <w:numPr>
          <w:ilvl w:val="0"/>
          <w:numId w:val="0"/>
        </w:numPr>
        <w:ind w:left="360"/>
        <w:rPr>
          <w:rStyle w:val="ReportTemplate"/>
          <w:noProof/>
          <w:lang w:eastAsia="en-GB"/>
        </w:rPr>
      </w:pPr>
      <w:r>
        <w:rPr>
          <w:rStyle w:val="ReportTemplate"/>
          <w:noProof/>
          <w:lang w:eastAsia="en-GB"/>
        </w:rPr>
        <w:lastRenderedPageBreak/>
        <w:t xml:space="preserve"> </w:t>
      </w:r>
    </w:p>
    <w:p w14:paraId="2DF8F107" w14:textId="77777777" w:rsidR="007945F7" w:rsidRDefault="007945F7" w:rsidP="007945F7">
      <w:pPr>
        <w:pStyle w:val="ListParagraph"/>
        <w:rPr>
          <w:lang w:eastAsia="en-GB"/>
        </w:rPr>
      </w:pPr>
      <w:r>
        <w:rPr>
          <w:lang w:eastAsia="en-GB"/>
        </w:rPr>
        <w:t>P</w:t>
      </w:r>
      <w:r w:rsidRPr="00F53603">
        <w:rPr>
          <w:lang w:eastAsia="en-GB"/>
        </w:rPr>
        <w:t xml:space="preserve">olitical lobbying across the UK in respect of </w:t>
      </w:r>
      <w:r>
        <w:rPr>
          <w:lang w:eastAsia="en-GB"/>
        </w:rPr>
        <w:t>funding is also continuing (</w:t>
      </w:r>
      <w:r w:rsidRPr="00F53603">
        <w:rPr>
          <w:lang w:eastAsia="en-GB"/>
        </w:rPr>
        <w:t>both separately and whe</w:t>
      </w:r>
      <w:r>
        <w:rPr>
          <w:lang w:eastAsia="en-GB"/>
        </w:rPr>
        <w:t>n</w:t>
      </w:r>
      <w:r w:rsidRPr="00F53603">
        <w:rPr>
          <w:lang w:eastAsia="en-GB"/>
        </w:rPr>
        <w:t xml:space="preserve"> appropriate jointly</w:t>
      </w:r>
      <w:r>
        <w:rPr>
          <w:lang w:eastAsia="en-GB"/>
        </w:rPr>
        <w:t>)</w:t>
      </w:r>
      <w:r w:rsidRPr="00F53603">
        <w:rPr>
          <w:lang w:eastAsia="en-GB"/>
        </w:rPr>
        <w:t xml:space="preserve">. </w:t>
      </w:r>
    </w:p>
    <w:p w14:paraId="4F2FCB6A" w14:textId="44E4065B" w:rsidR="007945F7" w:rsidRDefault="007945F7" w:rsidP="007945F7">
      <w:pPr>
        <w:pStyle w:val="ListParagraph"/>
        <w:numPr>
          <w:ilvl w:val="0"/>
          <w:numId w:val="0"/>
        </w:numPr>
        <w:ind w:left="360"/>
        <w:rPr>
          <w:rStyle w:val="ReportTemplate"/>
          <w:noProof/>
          <w:lang w:eastAsia="en-GB"/>
        </w:rPr>
      </w:pPr>
      <w:r>
        <w:rPr>
          <w:rStyle w:val="ReportTemplate"/>
          <w:noProof/>
          <w:lang w:eastAsia="en-GB"/>
        </w:rPr>
        <w:t xml:space="preserve"> </w:t>
      </w:r>
    </w:p>
    <w:p w14:paraId="4C878166" w14:textId="77777777" w:rsidR="007945F7" w:rsidRDefault="007945F7" w:rsidP="007945F7">
      <w:pPr>
        <w:pStyle w:val="ListParagraph"/>
        <w:rPr>
          <w:lang w:eastAsia="en-GB"/>
        </w:rPr>
      </w:pPr>
      <w:r>
        <w:rPr>
          <w:lang w:eastAsia="en-GB"/>
        </w:rPr>
        <w:t>In so far as England is concerned, a</w:t>
      </w:r>
      <w:r w:rsidRPr="003A78A8">
        <w:rPr>
          <w:lang w:eastAsia="en-GB"/>
        </w:rPr>
        <w:t xml:space="preserve"> substantial amount of detailed information has already been provided to the Home Office to support the case</w:t>
      </w:r>
      <w:r>
        <w:rPr>
          <w:lang w:eastAsia="en-GB"/>
        </w:rPr>
        <w:t>, including in respect of reserve levels. Discussion has moved on and since the last FSMC meeting, m</w:t>
      </w:r>
      <w:r w:rsidRPr="003A78A8">
        <w:rPr>
          <w:lang w:eastAsia="en-GB"/>
        </w:rPr>
        <w:t xml:space="preserve">eetings have taken place with civil servants separately </w:t>
      </w:r>
      <w:r>
        <w:rPr>
          <w:lang w:eastAsia="en-GB"/>
        </w:rPr>
        <w:t xml:space="preserve">as employers </w:t>
      </w:r>
      <w:r w:rsidRPr="003A78A8">
        <w:rPr>
          <w:lang w:eastAsia="en-GB"/>
        </w:rPr>
        <w:t xml:space="preserve">and jointly </w:t>
      </w:r>
      <w:r>
        <w:rPr>
          <w:lang w:eastAsia="en-GB"/>
        </w:rPr>
        <w:t xml:space="preserve">with employee representatives </w:t>
      </w:r>
      <w:r w:rsidRPr="003A78A8">
        <w:rPr>
          <w:lang w:eastAsia="en-GB"/>
        </w:rPr>
        <w:t xml:space="preserve">as appropriate and that is continuing. </w:t>
      </w:r>
      <w:r>
        <w:rPr>
          <w:lang w:eastAsia="en-GB"/>
        </w:rPr>
        <w:t>We are currently preparing additional information identified as being of interest at those meetings including  questions to the National Employers about associated budget matters in order to further inform Ministerial considerations. In doing so we are working with the LGA’s Senior Adviser (Finance) and a number of fire service finance directors.</w:t>
      </w:r>
    </w:p>
    <w:p w14:paraId="21AEAB08" w14:textId="00092220" w:rsidR="007945F7" w:rsidRDefault="007945F7" w:rsidP="007945F7">
      <w:pPr>
        <w:rPr>
          <w:rStyle w:val="ReportTemplate"/>
          <w:lang w:eastAsia="en-GB"/>
        </w:rPr>
      </w:pPr>
      <w:r w:rsidRPr="007945F7">
        <w:rPr>
          <w:lang w:eastAsia="en-GB"/>
        </w:rPr>
        <w:t xml:space="preserve">Court Of Justice of the European Union - Ville De </w:t>
      </w:r>
      <w:proofErr w:type="spellStart"/>
      <w:r w:rsidRPr="007945F7">
        <w:rPr>
          <w:lang w:eastAsia="en-GB"/>
        </w:rPr>
        <w:t>Nivelles</w:t>
      </w:r>
      <w:proofErr w:type="spellEnd"/>
      <w:r w:rsidRPr="007945F7">
        <w:rPr>
          <w:lang w:eastAsia="en-GB"/>
        </w:rPr>
        <w:t xml:space="preserve"> V Rudy </w:t>
      </w:r>
      <w:proofErr w:type="spellStart"/>
      <w:r w:rsidRPr="007945F7">
        <w:rPr>
          <w:lang w:eastAsia="en-GB"/>
        </w:rPr>
        <w:t>Matzak</w:t>
      </w:r>
      <w:proofErr w:type="spellEnd"/>
    </w:p>
    <w:p w14:paraId="2AA5C1FA" w14:textId="77777777" w:rsidR="007945F7" w:rsidRPr="003A78A8" w:rsidRDefault="007945F7" w:rsidP="007945F7">
      <w:pPr>
        <w:pStyle w:val="ListParagraph"/>
        <w:rPr>
          <w:lang w:eastAsia="en-GB"/>
        </w:rPr>
      </w:pPr>
      <w:r w:rsidRPr="003A78A8">
        <w:rPr>
          <w:lang w:eastAsia="en-GB"/>
        </w:rPr>
        <w:t xml:space="preserve">This recent case concerned a ‘volunteer’ firefighter in Belgium. However its impact will be felt more widely, including in the UK.  In essence it has determined that stand-by time of a worker at home who is obliged to respond to calls from the employer within a short period must be regarded as ‘working time’. </w:t>
      </w:r>
    </w:p>
    <w:p w14:paraId="329E30B5" w14:textId="5A7AE635" w:rsidR="007945F7" w:rsidRDefault="007945F7" w:rsidP="007945F7">
      <w:pPr>
        <w:pStyle w:val="ListParagraph"/>
        <w:numPr>
          <w:ilvl w:val="0"/>
          <w:numId w:val="0"/>
        </w:numPr>
        <w:ind w:left="360"/>
        <w:rPr>
          <w:rStyle w:val="ReportTemplate"/>
          <w:noProof/>
          <w:lang w:eastAsia="en-GB"/>
        </w:rPr>
      </w:pPr>
      <w:r>
        <w:rPr>
          <w:rStyle w:val="ReportTemplate"/>
          <w:noProof/>
          <w:lang w:eastAsia="en-GB"/>
        </w:rPr>
        <w:t xml:space="preserve"> </w:t>
      </w:r>
    </w:p>
    <w:p w14:paraId="6A236755" w14:textId="77777777" w:rsidR="007945F7" w:rsidRPr="003A78A8" w:rsidRDefault="007945F7" w:rsidP="007945F7">
      <w:pPr>
        <w:pStyle w:val="ListParagraph"/>
        <w:rPr>
          <w:lang w:eastAsia="en-GB"/>
        </w:rPr>
      </w:pPr>
      <w:r w:rsidRPr="003A78A8">
        <w:rPr>
          <w:lang w:eastAsia="en-GB"/>
        </w:rPr>
        <w:t xml:space="preserve">Through the auspices of the National Employers we have been working with a QC to inform guidance to FRAs on the judgement. </w:t>
      </w:r>
    </w:p>
    <w:p w14:paraId="6FC7AE69" w14:textId="2AB28596" w:rsidR="007945F7" w:rsidRDefault="007945F7" w:rsidP="007945F7">
      <w:pPr>
        <w:pStyle w:val="ListParagraph"/>
        <w:numPr>
          <w:ilvl w:val="0"/>
          <w:numId w:val="0"/>
        </w:numPr>
        <w:ind w:left="360"/>
        <w:rPr>
          <w:rStyle w:val="ReportTemplate"/>
          <w:noProof/>
          <w:lang w:eastAsia="en-GB"/>
        </w:rPr>
      </w:pPr>
      <w:r>
        <w:rPr>
          <w:rStyle w:val="ReportTemplate"/>
          <w:noProof/>
          <w:lang w:eastAsia="en-GB"/>
        </w:rPr>
        <w:t xml:space="preserve"> </w:t>
      </w:r>
    </w:p>
    <w:p w14:paraId="00ADE839" w14:textId="7FA2874B" w:rsidR="007945F7" w:rsidRPr="007945F7" w:rsidRDefault="007945F7" w:rsidP="007945F7">
      <w:pPr>
        <w:pStyle w:val="ListParagraph"/>
        <w:rPr>
          <w:noProof/>
          <w:lang w:eastAsia="en-GB"/>
        </w:rPr>
      </w:pPr>
      <w:r w:rsidRPr="003A78A8">
        <w:rPr>
          <w:rFonts w:cs="Arial"/>
          <w:sz w:val="23"/>
          <w:szCs w:val="23"/>
          <w:lang w:eastAsia="en-GB"/>
        </w:rPr>
        <w:t>We put in place a sounding board with a mix of HR and legal advisers from each of the UK administrations as well as one of the LGA’s senior employment law advisers to be sure the questions asked and information provided to the QC would be appropriate</w:t>
      </w:r>
      <w:r>
        <w:rPr>
          <w:rFonts w:cs="Arial"/>
          <w:sz w:val="23"/>
          <w:szCs w:val="23"/>
          <w:lang w:eastAsia="en-GB"/>
        </w:rPr>
        <w:t xml:space="preserve"> </w:t>
      </w:r>
    </w:p>
    <w:p w14:paraId="58924D0B" w14:textId="785B3FDE" w:rsidR="007945F7" w:rsidRPr="007945F7" w:rsidRDefault="007945F7" w:rsidP="007945F7">
      <w:pPr>
        <w:pStyle w:val="ListParagraph"/>
        <w:numPr>
          <w:ilvl w:val="0"/>
          <w:numId w:val="0"/>
        </w:numPr>
        <w:ind w:left="360"/>
        <w:rPr>
          <w:noProof/>
          <w:lang w:eastAsia="en-GB"/>
        </w:rPr>
      </w:pPr>
      <w:r>
        <w:rPr>
          <w:rFonts w:cs="Arial"/>
          <w:sz w:val="23"/>
          <w:szCs w:val="23"/>
          <w:lang w:eastAsia="en-GB"/>
        </w:rPr>
        <w:t xml:space="preserve"> </w:t>
      </w:r>
    </w:p>
    <w:p w14:paraId="67617C02" w14:textId="77777777" w:rsidR="007945F7" w:rsidRPr="003A78A8" w:rsidRDefault="007945F7" w:rsidP="007945F7">
      <w:pPr>
        <w:pStyle w:val="ListParagraph"/>
        <w:rPr>
          <w:lang w:eastAsia="en-GB"/>
        </w:rPr>
      </w:pPr>
      <w:r w:rsidRPr="003A78A8">
        <w:rPr>
          <w:lang w:eastAsia="en-GB"/>
        </w:rPr>
        <w:t xml:space="preserve">The Sounding Board has met with the QC to further explore the picture of how the retained duty system works in the UK. We also put in place a meeting to provide demonstrations of the three main availability management systems used by FRSs. </w:t>
      </w:r>
    </w:p>
    <w:p w14:paraId="192D4275" w14:textId="2F856032" w:rsidR="007945F7" w:rsidRDefault="007945F7" w:rsidP="007945F7">
      <w:pPr>
        <w:pStyle w:val="ListParagraph"/>
        <w:numPr>
          <w:ilvl w:val="0"/>
          <w:numId w:val="0"/>
        </w:numPr>
        <w:ind w:left="360"/>
        <w:rPr>
          <w:rStyle w:val="ReportTemplate"/>
          <w:noProof/>
          <w:lang w:eastAsia="en-GB"/>
        </w:rPr>
      </w:pPr>
      <w:r>
        <w:rPr>
          <w:rStyle w:val="ReportTemplate"/>
          <w:noProof/>
          <w:lang w:eastAsia="en-GB"/>
        </w:rPr>
        <w:t xml:space="preserve"> </w:t>
      </w:r>
    </w:p>
    <w:p w14:paraId="595F267B" w14:textId="77777777" w:rsidR="007945F7" w:rsidRPr="003A78A8" w:rsidRDefault="007945F7" w:rsidP="007945F7">
      <w:pPr>
        <w:pStyle w:val="ListParagraph"/>
        <w:rPr>
          <w:lang w:eastAsia="en-GB"/>
        </w:rPr>
      </w:pPr>
      <w:r w:rsidRPr="003A78A8">
        <w:rPr>
          <w:lang w:eastAsia="en-GB"/>
        </w:rPr>
        <w:t xml:space="preserve">FRAs/FRSs will be further updated as soon as possible. </w:t>
      </w:r>
    </w:p>
    <w:p w14:paraId="5F3280D5" w14:textId="5851D5FE" w:rsidR="007945F7" w:rsidRDefault="007945F7" w:rsidP="007945F7">
      <w:pPr>
        <w:ind w:left="0" w:firstLine="0"/>
        <w:rPr>
          <w:rStyle w:val="ReportTemplate"/>
          <w:noProof/>
          <w:lang w:eastAsia="en-GB"/>
        </w:rPr>
      </w:pPr>
      <w:r w:rsidRPr="007945F7">
        <w:rPr>
          <w:rStyle w:val="ReportTemplate"/>
          <w:noProof/>
          <w:lang w:eastAsia="en-GB"/>
        </w:rPr>
        <w:t xml:space="preserve">Court of Appeal – Pension Scheme Transitional Protection Arrangements </w:t>
      </w:r>
      <w:r>
        <w:rPr>
          <w:rStyle w:val="ReportTemplate"/>
          <w:noProof/>
          <w:lang w:eastAsia="en-GB"/>
        </w:rPr>
        <w:t xml:space="preserve"> </w:t>
      </w:r>
    </w:p>
    <w:p w14:paraId="3B1AAEB2" w14:textId="77777777" w:rsidR="007945F7" w:rsidRPr="003A78A8" w:rsidRDefault="007945F7" w:rsidP="007945F7">
      <w:pPr>
        <w:pStyle w:val="ListParagraph"/>
        <w:rPr>
          <w:lang w:eastAsia="en-GB"/>
        </w:rPr>
      </w:pPr>
      <w:r w:rsidRPr="003A78A8">
        <w:rPr>
          <w:lang w:eastAsia="en-GB"/>
        </w:rPr>
        <w:t xml:space="preserve">Members will recall that the Employment Tribunal found in favour of fire authorities. The FBU, who act on behalf of the claimants, lodged an appeal. The Employment Appeal Tribunal decided to join the appeal with that in the McCloud case relating to judges (which found in favour of the judges).   </w:t>
      </w:r>
    </w:p>
    <w:p w14:paraId="5E5DB3DC" w14:textId="057E7E4C" w:rsidR="007945F7" w:rsidRDefault="007945F7" w:rsidP="007945F7">
      <w:pPr>
        <w:pStyle w:val="ListParagraph"/>
        <w:numPr>
          <w:ilvl w:val="0"/>
          <w:numId w:val="0"/>
        </w:numPr>
        <w:ind w:left="360"/>
        <w:rPr>
          <w:rStyle w:val="ReportTemplate"/>
          <w:noProof/>
          <w:lang w:eastAsia="en-GB"/>
        </w:rPr>
      </w:pPr>
      <w:r>
        <w:rPr>
          <w:rStyle w:val="ReportTemplate"/>
          <w:noProof/>
          <w:lang w:eastAsia="en-GB"/>
        </w:rPr>
        <w:t xml:space="preserve"> </w:t>
      </w:r>
    </w:p>
    <w:p w14:paraId="3AAE50E2" w14:textId="77777777" w:rsidR="007945F7" w:rsidRPr="003A78A8" w:rsidRDefault="007945F7" w:rsidP="007945F7">
      <w:pPr>
        <w:pStyle w:val="ListParagraph"/>
        <w:rPr>
          <w:lang w:eastAsia="en-GB"/>
        </w:rPr>
      </w:pPr>
      <w:r w:rsidRPr="003A78A8">
        <w:rPr>
          <w:lang w:eastAsia="en-GB"/>
        </w:rPr>
        <w:t xml:space="preserve">The EAT allowed the firefighters' appeals in certain respects. However, the EAT has not examined the evidence and found there was discrimination. The EAT's judgement simply means that, in its view, the ET was mistaken in the law in certain limited respects. </w:t>
      </w:r>
      <w:r w:rsidRPr="003A78A8">
        <w:rPr>
          <w:lang w:eastAsia="en-GB"/>
        </w:rPr>
        <w:lastRenderedPageBreak/>
        <w:t xml:space="preserve">However, in regard to those matters, the EAT recognised that there are grounds to appeal against its decision and the Respondents, including the FRAs, were given permission to appeal to the Court of Appeal. The reasons for allowing the firefighters' appeals in so far as the EAT did so, were very limited and the Respondents to the Claims, the Governmental bodies and the Fire and Rescue Authorities, succeeded on a significant number of points. </w:t>
      </w:r>
    </w:p>
    <w:p w14:paraId="3E98C305" w14:textId="2CF24199" w:rsidR="007945F7" w:rsidRDefault="007945F7" w:rsidP="007945F7">
      <w:pPr>
        <w:pStyle w:val="ListParagraph"/>
        <w:numPr>
          <w:ilvl w:val="0"/>
          <w:numId w:val="0"/>
        </w:numPr>
        <w:ind w:left="360"/>
        <w:rPr>
          <w:rStyle w:val="ReportTemplate"/>
          <w:noProof/>
          <w:lang w:eastAsia="en-GB"/>
        </w:rPr>
      </w:pPr>
      <w:r>
        <w:rPr>
          <w:rStyle w:val="ReportTemplate"/>
          <w:noProof/>
          <w:lang w:eastAsia="en-GB"/>
        </w:rPr>
        <w:t xml:space="preserve"> </w:t>
      </w:r>
    </w:p>
    <w:p w14:paraId="6591262D" w14:textId="77777777" w:rsidR="007945F7" w:rsidRPr="003A78A8" w:rsidRDefault="007945F7" w:rsidP="007945F7">
      <w:pPr>
        <w:pStyle w:val="ListParagraph"/>
        <w:rPr>
          <w:lang w:eastAsia="en-GB"/>
        </w:rPr>
      </w:pPr>
      <w:r w:rsidRPr="003A78A8">
        <w:rPr>
          <w:lang w:eastAsia="en-GB"/>
        </w:rPr>
        <w:t xml:space="preserve">The appeal to the Court of Appeal </w:t>
      </w:r>
      <w:r>
        <w:rPr>
          <w:lang w:eastAsia="en-GB"/>
        </w:rPr>
        <w:t xml:space="preserve">took place earlier this month and the judgment is awaited. </w:t>
      </w:r>
      <w:r w:rsidRPr="003A78A8">
        <w:rPr>
          <w:lang w:eastAsia="en-GB"/>
        </w:rPr>
        <w:t xml:space="preserve"> </w:t>
      </w:r>
    </w:p>
    <w:p w14:paraId="6610C8BF" w14:textId="29FA0B60" w:rsidR="007945F7" w:rsidRDefault="007945F7" w:rsidP="007945F7">
      <w:pPr>
        <w:pStyle w:val="ListParagraph"/>
        <w:numPr>
          <w:ilvl w:val="0"/>
          <w:numId w:val="0"/>
        </w:numPr>
        <w:ind w:left="360"/>
        <w:rPr>
          <w:rStyle w:val="ReportTemplate"/>
          <w:noProof/>
          <w:lang w:eastAsia="en-GB"/>
        </w:rPr>
      </w:pPr>
      <w:r>
        <w:rPr>
          <w:rStyle w:val="ReportTemplate"/>
          <w:noProof/>
          <w:lang w:eastAsia="en-GB"/>
        </w:rPr>
        <w:t xml:space="preserve"> </w:t>
      </w:r>
    </w:p>
    <w:p w14:paraId="411687CB" w14:textId="77777777" w:rsidR="007945F7" w:rsidRPr="003A78A8" w:rsidRDefault="007945F7" w:rsidP="007945F7">
      <w:pPr>
        <w:pStyle w:val="ListParagraph"/>
        <w:rPr>
          <w:lang w:eastAsia="en-GB"/>
        </w:rPr>
      </w:pPr>
      <w:r w:rsidRPr="003A78A8">
        <w:rPr>
          <w:lang w:eastAsia="en-GB"/>
        </w:rPr>
        <w:t>In addition to the above, the FRAs have a separate appeal based on Schedule 22 of the Equality Act 2010. At the initial stage the Employment Tribunal found against the fire authorities. The appeal is based on the belief that the FRAs have been very much stuck in the middle between the Governmental bodies and the FBU and the dispute between those bodies.  The FRAs have done nothing other than seek to apply the law as determined by others. The EAT has ordered that this separate appeal should be stayed until the Court of Appeal has given its judgement.</w:t>
      </w:r>
    </w:p>
    <w:p w14:paraId="2E486290" w14:textId="4DE3D029" w:rsidR="007945F7" w:rsidRDefault="007945F7" w:rsidP="007945F7">
      <w:pPr>
        <w:pStyle w:val="ListParagraph"/>
        <w:numPr>
          <w:ilvl w:val="0"/>
          <w:numId w:val="0"/>
        </w:numPr>
        <w:ind w:left="360"/>
        <w:rPr>
          <w:rStyle w:val="ReportTemplate"/>
          <w:noProof/>
          <w:lang w:eastAsia="en-GB"/>
        </w:rPr>
      </w:pPr>
      <w:r>
        <w:rPr>
          <w:rStyle w:val="ReportTemplate"/>
          <w:noProof/>
          <w:lang w:eastAsia="en-GB"/>
        </w:rPr>
        <w:t xml:space="preserve"> </w:t>
      </w:r>
    </w:p>
    <w:p w14:paraId="4D0EBE80" w14:textId="77777777" w:rsidR="007945F7" w:rsidRDefault="007945F7" w:rsidP="007945F7">
      <w:pPr>
        <w:pStyle w:val="ListParagraph"/>
        <w:rPr>
          <w:lang w:eastAsia="en-GB"/>
        </w:rPr>
      </w:pPr>
      <w:r w:rsidRPr="003A78A8">
        <w:rPr>
          <w:lang w:eastAsia="en-GB"/>
        </w:rPr>
        <w:t>We continue to work closely with the Steering Group set up by the National Employers at the start of the legal process following agreement that the LGA would represent all UK fire and rescue services on a collective, cost sharing basis. While covered by the collective approach, the cases in Scotland, Wales and Northern Ireland are currently stayed pending the outcome of the English test cases. The Steering Group has legal and HR advisers from varying types of fire and rescue services across the UK, the Advisory Forum legal adviser, employers’ secretariat, and from the LGA its Corporate Legal Adviser and a Senior Employment Law Adviser.</w:t>
      </w:r>
    </w:p>
    <w:p w14:paraId="71546641" w14:textId="060D0F20" w:rsidR="007945F7" w:rsidRDefault="007945F7" w:rsidP="007945F7">
      <w:pPr>
        <w:rPr>
          <w:rStyle w:val="ReportTemplate"/>
          <w:lang w:eastAsia="en-GB"/>
        </w:rPr>
      </w:pPr>
      <w:r w:rsidRPr="007945F7">
        <w:rPr>
          <w:lang w:eastAsia="en-GB"/>
        </w:rPr>
        <w:t>Secretariat support</w:t>
      </w:r>
    </w:p>
    <w:p w14:paraId="1F2F1A65" w14:textId="77777777" w:rsidR="007945F7" w:rsidRDefault="007945F7" w:rsidP="007945F7">
      <w:pPr>
        <w:pStyle w:val="ListParagraph"/>
        <w:rPr>
          <w:lang w:eastAsia="en-GB"/>
        </w:rPr>
      </w:pPr>
      <w:r w:rsidRPr="0070028B">
        <w:t xml:space="preserve">Aside from the formal NJC dispute resolution processes, the Joint Secretariat can provide informal assistance where the local parties believe a matter is proving difficult to resolve. </w:t>
      </w:r>
      <w:r w:rsidRPr="0070028B">
        <w:rPr>
          <w:lang w:eastAsia="en-GB"/>
        </w:rPr>
        <w:t>Most recently we have supported a service in resolving a broad range of harmonisation issues and the employers’ secretariat has supported discussions which resolved a Trade Dispute</w:t>
      </w:r>
      <w:r>
        <w:rPr>
          <w:lang w:eastAsia="en-GB"/>
        </w:rPr>
        <w:t xml:space="preserve">. </w:t>
      </w:r>
      <w:r w:rsidRPr="0070028B">
        <w:rPr>
          <w:lang w:eastAsia="en-GB"/>
        </w:rPr>
        <w:t xml:space="preserve"> </w:t>
      </w:r>
    </w:p>
    <w:p w14:paraId="190B0824" w14:textId="1A7D8423" w:rsidR="007945F7" w:rsidRDefault="007945F7" w:rsidP="007945F7">
      <w:pPr>
        <w:pStyle w:val="ListParagraph"/>
        <w:numPr>
          <w:ilvl w:val="0"/>
          <w:numId w:val="0"/>
        </w:numPr>
        <w:ind w:left="360"/>
        <w:rPr>
          <w:rStyle w:val="ReportTemplate"/>
          <w:noProof/>
          <w:lang w:eastAsia="en-GB"/>
        </w:rPr>
      </w:pPr>
      <w:r>
        <w:rPr>
          <w:rStyle w:val="ReportTemplate"/>
          <w:noProof/>
          <w:lang w:eastAsia="en-GB"/>
        </w:rPr>
        <w:t xml:space="preserve"> </w:t>
      </w:r>
    </w:p>
    <w:p w14:paraId="78A62F9D" w14:textId="0D56ADC0" w:rsidR="007945F7" w:rsidRDefault="007945F7" w:rsidP="007945F7">
      <w:pPr>
        <w:pStyle w:val="ListParagraph"/>
        <w:rPr>
          <w:lang w:eastAsia="en-GB"/>
        </w:rPr>
      </w:pPr>
      <w:r w:rsidRPr="003A78A8">
        <w:rPr>
          <w:lang w:eastAsia="en-GB"/>
        </w:rPr>
        <w:t>In terms of formal processes</w:t>
      </w:r>
      <w:r>
        <w:rPr>
          <w:lang w:eastAsia="en-GB"/>
        </w:rPr>
        <w:t xml:space="preserve">, </w:t>
      </w:r>
      <w:r w:rsidRPr="003A78A8">
        <w:rPr>
          <w:lang w:eastAsia="en-GB"/>
        </w:rPr>
        <w:t xml:space="preserve">the Joint Secretariat </w:t>
      </w:r>
      <w:r>
        <w:rPr>
          <w:lang w:eastAsia="en-GB"/>
        </w:rPr>
        <w:t xml:space="preserve">has </w:t>
      </w:r>
      <w:r w:rsidRPr="0070028B">
        <w:rPr>
          <w:lang w:eastAsia="en-GB"/>
        </w:rPr>
        <w:t xml:space="preserve">facilitated agreement </w:t>
      </w:r>
      <w:r>
        <w:rPr>
          <w:lang w:eastAsia="en-GB"/>
        </w:rPr>
        <w:t xml:space="preserve">for a service </w:t>
      </w:r>
      <w:r w:rsidRPr="0070028B">
        <w:rPr>
          <w:lang w:eastAsia="en-GB"/>
        </w:rPr>
        <w:t xml:space="preserve">on a number of issues. </w:t>
      </w:r>
      <w:r>
        <w:rPr>
          <w:lang w:eastAsia="en-GB"/>
        </w:rPr>
        <w:t xml:space="preserve">In addition the </w:t>
      </w:r>
      <w:r w:rsidRPr="0070028B">
        <w:rPr>
          <w:lang w:eastAsia="en-GB"/>
        </w:rPr>
        <w:t>NJC’s Technical Advisory Panel has met</w:t>
      </w:r>
      <w:r>
        <w:rPr>
          <w:lang w:eastAsia="en-GB"/>
        </w:rPr>
        <w:t xml:space="preserve">. The outcome of that has been reported to FRAs and services by </w:t>
      </w:r>
      <w:hyperlink r:id="rId13" w:history="1">
        <w:r w:rsidRPr="0070028B">
          <w:rPr>
            <w:rStyle w:val="Hyperlink"/>
            <w:rFonts w:cs="Arial"/>
            <w:sz w:val="23"/>
            <w:szCs w:val="23"/>
            <w:lang w:eastAsia="en-GB"/>
          </w:rPr>
          <w:t>circular</w:t>
        </w:r>
      </w:hyperlink>
      <w:r>
        <w:rPr>
          <w:lang w:eastAsia="en-GB"/>
        </w:rPr>
        <w:t xml:space="preserve">. </w:t>
      </w:r>
    </w:p>
    <w:p w14:paraId="51545E10" w14:textId="635B9C18" w:rsidR="007945F7" w:rsidRDefault="007945F7" w:rsidP="007945F7">
      <w:pPr>
        <w:rPr>
          <w:rStyle w:val="ReportTemplate"/>
          <w:b/>
          <w:lang w:eastAsia="en-GB"/>
        </w:rPr>
      </w:pPr>
      <w:r w:rsidRPr="007945F7">
        <w:rPr>
          <w:rStyle w:val="ReportTemplate"/>
          <w:b/>
          <w:lang w:eastAsia="en-GB"/>
        </w:rPr>
        <w:t>Next Steps</w:t>
      </w:r>
    </w:p>
    <w:p w14:paraId="4C802C6B" w14:textId="0A0CB145" w:rsidR="007945F7" w:rsidRPr="007945F7" w:rsidRDefault="007945F7" w:rsidP="007945F7">
      <w:pPr>
        <w:pStyle w:val="ListParagraph"/>
        <w:rPr>
          <w:rStyle w:val="ReportTemplate"/>
          <w:lang w:eastAsia="en-GB"/>
        </w:rPr>
      </w:pPr>
      <w:r w:rsidRPr="007945F7">
        <w:rPr>
          <w:rStyle w:val="ReportTemplate"/>
          <w:lang w:eastAsia="en-GB"/>
        </w:rPr>
        <w:t>Officers to take forward members comments</w:t>
      </w:r>
    </w:p>
    <w:p w14:paraId="3820A5AD" w14:textId="77777777" w:rsidR="00E37C8D" w:rsidRDefault="00E37C8D" w:rsidP="00E37C8D">
      <w:pPr>
        <w:rPr>
          <w:rStyle w:val="ReportTemplate"/>
        </w:rPr>
      </w:pPr>
    </w:p>
    <w:p w14:paraId="5837A1C8" w14:textId="77777777" w:rsidR="009B6F95" w:rsidRPr="00C803F3" w:rsidRDefault="009B6F95" w:rsidP="009E1C27">
      <w:pPr>
        <w:ind w:left="0" w:firstLine="0"/>
      </w:pPr>
      <w:bookmarkStart w:id="1" w:name="_GoBack"/>
      <w:bookmarkEnd w:id="1"/>
    </w:p>
    <w:sectPr w:rsidR="009B6F95" w:rsidRPr="00C803F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E37C8D" w:rsidRPr="00C803F3" w:rsidRDefault="00E37C8D" w:rsidP="00C803F3">
      <w:r>
        <w:separator/>
      </w:r>
    </w:p>
  </w:endnote>
  <w:endnote w:type="continuationSeparator" w:id="0">
    <w:p w14:paraId="5837A1CE" w14:textId="77777777" w:rsidR="00E37C8D" w:rsidRPr="00C803F3" w:rsidRDefault="00E37C8D"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E37C8D" w:rsidRPr="00C803F3" w:rsidRDefault="00E37C8D" w:rsidP="00C803F3">
      <w:r>
        <w:separator/>
      </w:r>
    </w:p>
  </w:footnote>
  <w:footnote w:type="continuationSeparator" w:id="0">
    <w:p w14:paraId="5837A1CC" w14:textId="77777777" w:rsidR="00E37C8D" w:rsidRPr="00C803F3" w:rsidRDefault="00E37C8D" w:rsidP="00C803F3">
      <w:r>
        <w:continuationSeparator/>
      </w:r>
    </w:p>
  </w:footnote>
  <w:footnote w:id="1">
    <w:p w14:paraId="48C7A9AA" w14:textId="77777777" w:rsidR="00E37C8D" w:rsidRPr="00AD079F" w:rsidRDefault="00E37C8D" w:rsidP="00E37C8D">
      <w:pPr>
        <w:pStyle w:val="FootnoteText"/>
        <w:rPr>
          <w:rFonts w:ascii="Arial" w:hAnsi="Arial" w:cs="Arial"/>
          <w:sz w:val="23"/>
          <w:szCs w:val="23"/>
        </w:rPr>
      </w:pPr>
      <w:r>
        <w:rPr>
          <w:rStyle w:val="FootnoteReference"/>
        </w:rPr>
        <w:footnoteRef/>
      </w:r>
      <w:r>
        <w:t xml:space="preserve"> </w:t>
      </w:r>
      <w:r>
        <w:rPr>
          <w:rFonts w:ascii="Arial" w:hAnsi="Arial" w:cs="Arial"/>
          <w:noProof/>
          <w:color w:val="000000"/>
          <w:sz w:val="23"/>
          <w:szCs w:val="23"/>
          <w:lang w:eastAsia="en-GB"/>
        </w:rPr>
        <w:t>An</w:t>
      </w:r>
      <w:r w:rsidRPr="00C90FFB">
        <w:rPr>
          <w:rFonts w:ascii="Arial" w:hAnsi="Arial" w:cs="Arial"/>
          <w:noProof/>
          <w:color w:val="000000"/>
          <w:sz w:val="23"/>
          <w:szCs w:val="23"/>
          <w:lang w:eastAsia="en-GB"/>
        </w:rPr>
        <w:t xml:space="preserve"> assumed increase between early retirement and normal retirement being in line with the index adjustment (AWE)</w:t>
      </w:r>
      <w:r>
        <w:rPr>
          <w:rFonts w:ascii="Arial" w:hAnsi="Arial" w:cs="Arial"/>
          <w:noProof/>
          <w:color w:val="000000"/>
          <w:sz w:val="23"/>
          <w:szCs w:val="23"/>
          <w:lang w:eastAsia="en-GB"/>
        </w:rPr>
        <w:t xml:space="preserve"> [</w:t>
      </w:r>
      <w:r w:rsidRPr="00AD079F">
        <w:rPr>
          <w:rFonts w:ascii="Arial" w:hAnsi="Arial" w:cs="Arial"/>
          <w:color w:val="000000"/>
          <w:sz w:val="23"/>
          <w:szCs w:val="23"/>
          <w:lang w:eastAsia="en-GB"/>
        </w:rPr>
        <w:t>Paragraph three of rules 70(</w:t>
      </w:r>
      <w:r w:rsidRPr="00AD079F">
        <w:rPr>
          <w:rFonts w:ascii="Arial" w:hAnsi="Arial" w:cs="Arial"/>
          <w:color w:val="0000FF"/>
          <w:sz w:val="23"/>
          <w:szCs w:val="23"/>
          <w:lang w:eastAsia="en-GB"/>
        </w:rPr>
        <w:t>WSI 2015/622</w:t>
      </w:r>
      <w:r w:rsidRPr="00AD079F">
        <w:rPr>
          <w:rFonts w:ascii="Arial" w:hAnsi="Arial" w:cs="Arial"/>
          <w:color w:val="000000"/>
          <w:sz w:val="23"/>
          <w:szCs w:val="23"/>
          <w:lang w:eastAsia="en-GB"/>
        </w:rPr>
        <w:t>) and 61(</w:t>
      </w:r>
      <w:r w:rsidRPr="00AD079F">
        <w:rPr>
          <w:rFonts w:ascii="Arial" w:hAnsi="Arial" w:cs="Arial"/>
          <w:color w:val="0000FF"/>
          <w:sz w:val="23"/>
          <w:szCs w:val="23"/>
          <w:lang w:eastAsia="en-GB"/>
        </w:rPr>
        <w:t>SSI 2015/19</w:t>
      </w:r>
      <w:r w:rsidRPr="00AD079F">
        <w:rPr>
          <w:rFonts w:ascii="Arial" w:hAnsi="Arial" w:cs="Arial"/>
          <w:color w:val="000000"/>
          <w:sz w:val="23"/>
          <w:szCs w:val="23"/>
          <w:lang w:eastAsia="en-GB"/>
        </w:rPr>
        <w:t>)</w:t>
      </w:r>
      <w:r>
        <w:rPr>
          <w:rFonts w:ascii="Arial" w:hAnsi="Arial" w:cs="Arial"/>
          <w:color w:val="000000"/>
          <w:sz w:val="23"/>
          <w:szCs w:val="23"/>
          <w:lang w:eastAsia="en-GB"/>
        </w:rPr>
        <w:t>]</w:t>
      </w:r>
      <w:r w:rsidRPr="00C90FFB">
        <w:rPr>
          <w:rFonts w:ascii="Arial" w:hAnsi="Arial" w:cs="Arial"/>
          <w:noProof/>
          <w:color w:val="000000"/>
          <w:sz w:val="23"/>
          <w:szCs w:val="23"/>
          <w:lang w:eastAsia="en-GB"/>
        </w:rPr>
        <w:t>, whereby in England the increase is in line with PIA 1971</w:t>
      </w:r>
      <w:r>
        <w:rPr>
          <w:rStyle w:val="FootnoteReference"/>
          <w:rFonts w:ascii="Arial" w:hAnsi="Arial" w:cs="Arial"/>
          <w:noProof/>
          <w:color w:val="000000"/>
          <w:sz w:val="23"/>
          <w:szCs w:val="23"/>
          <w:lang w:eastAsia="en-GB"/>
        </w:rPr>
        <w:t>[</w:t>
      </w:r>
      <w:r w:rsidRPr="00AD079F">
        <w:rPr>
          <w:rFonts w:ascii="Arial" w:hAnsi="Arial" w:cs="Arial"/>
          <w:color w:val="000000"/>
          <w:sz w:val="23"/>
          <w:szCs w:val="23"/>
          <w:lang w:eastAsia="en-GB"/>
        </w:rPr>
        <w:t>Paragraph three of rule 61 (</w:t>
      </w:r>
      <w:r w:rsidRPr="00AD079F">
        <w:rPr>
          <w:rFonts w:ascii="Arial" w:hAnsi="Arial" w:cs="Arial"/>
          <w:color w:val="0000FF"/>
          <w:sz w:val="23"/>
          <w:szCs w:val="23"/>
          <w:lang w:eastAsia="en-GB"/>
        </w:rPr>
        <w:t>SI 2014/2848</w:t>
      </w:r>
      <w:r w:rsidRPr="00AD079F">
        <w:rPr>
          <w:rFonts w:ascii="Arial" w:hAnsi="Arial" w:cs="Arial"/>
          <w:color w:val="000000"/>
          <w:sz w:val="23"/>
          <w:szCs w:val="23"/>
          <w:lang w:eastAsia="en-GB"/>
        </w:rPr>
        <w:t>)</w:t>
      </w:r>
      <w:r>
        <w:rPr>
          <w:rFonts w:ascii="Arial" w:hAnsi="Arial" w:cs="Arial"/>
          <w:color w:val="000000"/>
          <w:sz w:val="23"/>
          <w:szCs w:val="23"/>
          <w:lang w:eastAsia="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E37C8D" w:rsidRDefault="00E37C8D">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E37C8D" w:rsidRPr="00C25CA7" w14:paraId="5837A1D2" w14:textId="77777777" w:rsidTr="000F69FB">
      <w:trPr>
        <w:trHeight w:val="416"/>
      </w:trPr>
      <w:tc>
        <w:tcPr>
          <w:tcW w:w="5812" w:type="dxa"/>
          <w:vMerge w:val="restart"/>
        </w:tcPr>
        <w:p w14:paraId="5837A1D0" w14:textId="77777777" w:rsidR="00E37C8D" w:rsidRPr="00C803F3" w:rsidRDefault="00E37C8D"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6D7CAE8B" w14:textId="77777777" w:rsidR="00E37C8D" w:rsidRDefault="00E37C8D" w:rsidP="00E37C8D">
              <w:pPr>
                <w:pStyle w:val="Header"/>
                <w:ind w:left="0" w:firstLine="0"/>
                <w:rPr>
                  <w:rFonts w:cs="Arial"/>
                  <w:b/>
                </w:rPr>
              </w:pPr>
              <w:r w:rsidRPr="00C23A63">
                <w:rPr>
                  <w:rFonts w:cs="Arial"/>
                  <w:b/>
                </w:rPr>
                <w:t xml:space="preserve">Fire </w:t>
              </w:r>
              <w:r>
                <w:rPr>
                  <w:rFonts w:cs="Arial"/>
                  <w:b/>
                </w:rPr>
                <w:t>Services Management Committee</w:t>
              </w:r>
            </w:p>
            <w:p w14:paraId="5837A1D1" w14:textId="2AF3FEA4" w:rsidR="00E37C8D" w:rsidRPr="00C803F3" w:rsidRDefault="00E37C8D" w:rsidP="00C803F3"/>
          </w:tc>
        </w:sdtContent>
      </w:sdt>
    </w:tr>
    <w:tr w:rsidR="00E37C8D" w14:paraId="5837A1D5" w14:textId="77777777" w:rsidTr="000F69FB">
      <w:trPr>
        <w:trHeight w:val="406"/>
      </w:trPr>
      <w:tc>
        <w:tcPr>
          <w:tcW w:w="5812" w:type="dxa"/>
          <w:vMerge/>
        </w:tcPr>
        <w:p w14:paraId="5837A1D3" w14:textId="77777777" w:rsidR="00E37C8D" w:rsidRPr="00A627DD" w:rsidRDefault="00E37C8D" w:rsidP="00C803F3"/>
      </w:tc>
      <w:tc>
        <w:tcPr>
          <w:tcW w:w="4106" w:type="dxa"/>
        </w:tcPr>
        <w:sdt>
          <w:sdtPr>
            <w:alias w:val="Date"/>
            <w:tag w:val="Date"/>
            <w:id w:val="-488943452"/>
            <w:placeholder>
              <w:docPart w:val="DC36D9B85A214F14AB68618A90760C36"/>
            </w:placeholder>
            <w:date w:fullDate="2018-11-23T00:00:00Z">
              <w:dateFormat w:val="dd MMMM yyyy"/>
              <w:lid w:val="en-GB"/>
              <w:storeMappedDataAs w:val="dateTime"/>
              <w:calendar w:val="gregorian"/>
            </w:date>
          </w:sdtPr>
          <w:sdtEndPr/>
          <w:sdtContent>
            <w:p w14:paraId="5837A1D4" w14:textId="3EA60D4E" w:rsidR="00E37C8D" w:rsidRPr="00C803F3" w:rsidRDefault="00E37C8D" w:rsidP="00C803F3">
              <w:r>
                <w:t>23 November 2018</w:t>
              </w:r>
            </w:p>
          </w:sdtContent>
        </w:sdt>
      </w:tc>
    </w:tr>
    <w:tr w:rsidR="00E37C8D" w:rsidRPr="00C25CA7" w14:paraId="5837A1D8" w14:textId="77777777" w:rsidTr="000F69FB">
      <w:trPr>
        <w:trHeight w:val="89"/>
      </w:trPr>
      <w:tc>
        <w:tcPr>
          <w:tcW w:w="5812" w:type="dxa"/>
          <w:vMerge/>
        </w:tcPr>
        <w:p w14:paraId="5837A1D6" w14:textId="77777777" w:rsidR="00E37C8D" w:rsidRPr="00A627DD" w:rsidRDefault="00E37C8D" w:rsidP="00C803F3"/>
      </w:tc>
      <w:tc>
        <w:tcPr>
          <w:tcW w:w="4106" w:type="dxa"/>
        </w:tcPr>
        <w:sdt>
          <w:sdtPr>
            <w:alias w:val="Item no."/>
            <w:tag w:val="Item no."/>
            <w:id w:val="-624237752"/>
            <w:placeholder>
              <w:docPart w:val="E82C81CF1FFA4ABEBE434B5B73B7C3E5"/>
            </w:placeholder>
          </w:sdtPr>
          <w:sdtEndPr/>
          <w:sdtContent>
            <w:p w14:paraId="5837A1D7" w14:textId="0D0F5A5C" w:rsidR="00E37C8D" w:rsidRPr="00C803F3" w:rsidRDefault="00E37C8D" w:rsidP="00E37C8D">
              <w:r>
                <w:t xml:space="preserve">  </w:t>
              </w:r>
            </w:p>
          </w:sdtContent>
        </w:sdt>
      </w:tc>
    </w:tr>
  </w:tbl>
  <w:p w14:paraId="5837A1D9" w14:textId="77777777" w:rsidR="00E37C8D" w:rsidRDefault="00E37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2EB3"/>
    <w:multiLevelType w:val="hybridMultilevel"/>
    <w:tmpl w:val="9CCCD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D72F4"/>
    <w:multiLevelType w:val="hybridMultilevel"/>
    <w:tmpl w:val="BC547D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7A00ECD"/>
    <w:multiLevelType w:val="hybridMultilevel"/>
    <w:tmpl w:val="F45C173C"/>
    <w:lvl w:ilvl="0" w:tplc="F668B1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264DD6"/>
    <w:multiLevelType w:val="hybridMultilevel"/>
    <w:tmpl w:val="D84A15CC"/>
    <w:lvl w:ilvl="0" w:tplc="A4F4AD1A">
      <w:start w:val="1"/>
      <w:numFmt w:val="decimal"/>
      <w:lvlText w:val="%1."/>
      <w:lvlJc w:val="left"/>
      <w:pPr>
        <w:ind w:left="1080" w:hanging="360"/>
      </w:pPr>
      <w:rPr>
        <w:rFonts w:ascii="Calibri" w:hAnsi="Calibri" w:cs="Times New Roman" w:hint="default"/>
        <w:color w:val="000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4F646755"/>
    <w:multiLevelType w:val="hybridMultilevel"/>
    <w:tmpl w:val="4C3883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4225"/>
    <w:rsid w:val="00016097"/>
    <w:rsid w:val="000F69FB"/>
    <w:rsid w:val="001B36CE"/>
    <w:rsid w:val="002539E9"/>
    <w:rsid w:val="00301A51"/>
    <w:rsid w:val="00712C86"/>
    <w:rsid w:val="007622BA"/>
    <w:rsid w:val="007945F7"/>
    <w:rsid w:val="00795C95"/>
    <w:rsid w:val="0080661C"/>
    <w:rsid w:val="00891AE9"/>
    <w:rsid w:val="009B1AA8"/>
    <w:rsid w:val="009B6F95"/>
    <w:rsid w:val="009E1C27"/>
    <w:rsid w:val="00B84F31"/>
    <w:rsid w:val="00C803F3"/>
    <w:rsid w:val="00D45B4D"/>
    <w:rsid w:val="00DA7394"/>
    <w:rsid w:val="00E37C8D"/>
    <w:rsid w:val="00F43A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E37C8D"/>
    <w:pPr>
      <w:spacing w:after="0" w:line="280" w:lineRule="exact"/>
      <w:ind w:left="0" w:firstLine="0"/>
    </w:pPr>
    <w:rPr>
      <w:rFonts w:ascii="Frutiger 45 Light" w:eastAsia="Times New Roman" w:hAnsi="Frutiger 45 Light" w:cs="Times New Roman"/>
      <w:szCs w:val="20"/>
      <w:lang w:eastAsia="en-GB"/>
    </w:rPr>
  </w:style>
  <w:style w:type="character" w:styleId="Hyperlink">
    <w:name w:val="Hyperlink"/>
    <w:rsid w:val="00E37C8D"/>
    <w:rPr>
      <w:color w:val="0000FF"/>
      <w:u w:val="single"/>
    </w:rPr>
  </w:style>
  <w:style w:type="paragraph" w:styleId="FootnoteText">
    <w:name w:val="footnote text"/>
    <w:basedOn w:val="Normal"/>
    <w:link w:val="FootnoteTextChar"/>
    <w:semiHidden/>
    <w:rsid w:val="00E37C8D"/>
    <w:pPr>
      <w:spacing w:after="0" w:line="240" w:lineRule="auto"/>
      <w:ind w:left="0" w:firstLine="0"/>
    </w:pPr>
    <w:rPr>
      <w:rFonts w:ascii="Frutiger 45 Light" w:eastAsia="Times New Roman" w:hAnsi="Frutiger 45 Light" w:cs="Times New Roman"/>
      <w:sz w:val="20"/>
      <w:szCs w:val="20"/>
    </w:rPr>
  </w:style>
  <w:style w:type="character" w:customStyle="1" w:styleId="FootnoteTextChar">
    <w:name w:val="Footnote Text Char"/>
    <w:basedOn w:val="DefaultParagraphFont"/>
    <w:link w:val="FootnoteText"/>
    <w:semiHidden/>
    <w:rsid w:val="00E37C8D"/>
    <w:rPr>
      <w:rFonts w:ascii="Frutiger 45 Light" w:eastAsia="Times New Roman" w:hAnsi="Frutiger 45 Light" w:cs="Times New Roman"/>
      <w:sz w:val="20"/>
      <w:szCs w:val="20"/>
      <w:lang w:eastAsia="en-US"/>
    </w:rPr>
  </w:style>
  <w:style w:type="character" w:styleId="FootnoteReference">
    <w:name w:val="footnote reference"/>
    <w:semiHidden/>
    <w:rsid w:val="00E37C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our-support/workforce-and-hr-support/fire-and-rescue/fire-and-rescue-services/fire-and-rescue-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air.alcock@local.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psboard.org/images/PDF/Boarddocs/Val2016/Val20166.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rotect-eu.mimecast.com/s/EzczCqj8LIrPkPuN_9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92771"/>
    <w:rsid w:val="001C79DF"/>
    <w:rsid w:val="002F1F5C"/>
    <w:rsid w:val="004E2C7C"/>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a2450aae-1d20-4711-921f-ba4e3dc97b4d"/>
    <ds:schemaRef ds:uri="http://purl.org/dc/terms/"/>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3E35DBF4</Template>
  <TotalTime>14</TotalTime>
  <Pages>6</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5</cp:revision>
  <dcterms:created xsi:type="dcterms:W3CDTF">2018-11-16T13:49:00Z</dcterms:created>
  <dcterms:modified xsi:type="dcterms:W3CDTF">2018-11-16T15:21:00Z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